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9D4E3" w14:textId="77777777" w:rsidR="00824643" w:rsidRDefault="00FE64D6" w:rsidP="009B565B">
      <w:pPr>
        <w:suppressLineNumbers/>
        <w:jc w:val="center"/>
        <w:rPr>
          <w:rFonts w:ascii="Times New Roman Bold" w:hAnsi="Times New Roman Bold"/>
          <w:b/>
          <w:sz w:val="24"/>
        </w:rPr>
      </w:pPr>
      <w:bookmarkStart w:id="0" w:name="_GoBack"/>
      <w:bookmarkEnd w:id="0"/>
      <w:r>
        <w:rPr>
          <w:rFonts w:ascii="Times New Roman Bold" w:hAnsi="Times New Roman Bold"/>
          <w:b/>
          <w:sz w:val="24"/>
        </w:rPr>
        <w:softHyphen/>
      </w:r>
    </w:p>
    <w:p w14:paraId="4F2DCEC2" w14:textId="77777777" w:rsidR="00824643" w:rsidRDefault="00824643" w:rsidP="009B565B">
      <w:pPr>
        <w:suppressLineNumbers/>
        <w:jc w:val="center"/>
        <w:rPr>
          <w:rFonts w:ascii="Times New Roman Bold" w:hAnsi="Times New Roman Bold"/>
          <w:b/>
          <w:sz w:val="24"/>
        </w:rPr>
      </w:pPr>
    </w:p>
    <w:p w14:paraId="2B61D80C" w14:textId="77777777" w:rsidR="00824643" w:rsidRDefault="00824643" w:rsidP="009B565B">
      <w:pPr>
        <w:suppressLineNumbers/>
        <w:jc w:val="center"/>
        <w:rPr>
          <w:rFonts w:ascii="Times New Roman Bold" w:hAnsi="Times New Roman Bold"/>
          <w:b/>
          <w:sz w:val="24"/>
        </w:rPr>
      </w:pPr>
    </w:p>
    <w:p w14:paraId="59BBD69D" w14:textId="02186333" w:rsidR="009B565B" w:rsidRPr="0092752C" w:rsidRDefault="009B565B" w:rsidP="009B565B">
      <w:pPr>
        <w:suppressLineNumbers/>
        <w:jc w:val="center"/>
        <w:rPr>
          <w:rFonts w:ascii="Times New Roman Bold" w:hAnsi="Times New Roman Bold"/>
          <w:b/>
          <w:sz w:val="24"/>
        </w:rPr>
      </w:pPr>
      <w:r>
        <w:rPr>
          <w:rFonts w:ascii="Times New Roman Bold" w:hAnsi="Times New Roman Bold"/>
          <w:b/>
          <w:sz w:val="24"/>
        </w:rPr>
        <w:t xml:space="preserve">SOAH DOCKET NO. </w:t>
      </w:r>
      <w:r w:rsidR="00934CA5">
        <w:rPr>
          <w:rFonts w:ascii="Times New Roman Bold" w:hAnsi="Times New Roman Bold"/>
          <w:b/>
          <w:sz w:val="24"/>
        </w:rPr>
        <w:t>473</w:t>
      </w:r>
      <w:r w:rsidR="00605DE9" w:rsidRPr="00605DE9">
        <w:rPr>
          <w:rFonts w:ascii="Times New Roman Bold" w:hAnsi="Times New Roman Bold"/>
          <w:b/>
          <w:sz w:val="24"/>
        </w:rPr>
        <w:t>-</w:t>
      </w:r>
      <w:r w:rsidR="00934CA5">
        <w:rPr>
          <w:rFonts w:ascii="Times New Roman Bold" w:hAnsi="Times New Roman Bold"/>
          <w:b/>
          <w:sz w:val="24"/>
        </w:rPr>
        <w:t>19</w:t>
      </w:r>
      <w:r w:rsidR="00605DE9" w:rsidRPr="00605DE9">
        <w:rPr>
          <w:rFonts w:ascii="Times New Roman Bold" w:hAnsi="Times New Roman Bold"/>
          <w:b/>
          <w:sz w:val="24"/>
        </w:rPr>
        <w:t>-</w:t>
      </w:r>
      <w:r w:rsidR="00934CA5">
        <w:rPr>
          <w:rFonts w:ascii="Times New Roman Bold" w:hAnsi="Times New Roman Bold"/>
          <w:b/>
          <w:sz w:val="24"/>
        </w:rPr>
        <w:t>3864</w:t>
      </w:r>
    </w:p>
    <w:p w14:paraId="162524CC" w14:textId="146AA65F" w:rsidR="00864F76" w:rsidRPr="0092752C" w:rsidRDefault="00350319" w:rsidP="005C3A86">
      <w:pPr>
        <w:suppressLineNumbers/>
        <w:jc w:val="center"/>
        <w:rPr>
          <w:rFonts w:ascii="Times New Roman Bold" w:hAnsi="Times New Roman Bold"/>
          <w:b/>
          <w:sz w:val="24"/>
        </w:rPr>
      </w:pPr>
      <w:r w:rsidRPr="0092752C">
        <w:rPr>
          <w:rFonts w:ascii="Times New Roman Bold" w:hAnsi="Times New Roman Bold"/>
          <w:b/>
          <w:sz w:val="24"/>
        </w:rPr>
        <w:t xml:space="preserve">PUC DOCKET NO. </w:t>
      </w:r>
      <w:r w:rsidR="002D01D3">
        <w:rPr>
          <w:rFonts w:ascii="Times New Roman Bold" w:hAnsi="Times New Roman Bold"/>
          <w:b/>
          <w:sz w:val="24"/>
        </w:rPr>
        <w:t>4</w:t>
      </w:r>
      <w:r w:rsidR="00503F75">
        <w:rPr>
          <w:rFonts w:ascii="Times New Roman Bold" w:hAnsi="Times New Roman Bold"/>
          <w:b/>
          <w:sz w:val="24"/>
        </w:rPr>
        <w:t>9</w:t>
      </w:r>
      <w:r w:rsidR="005D0271">
        <w:rPr>
          <w:rFonts w:ascii="Times New Roman Bold" w:hAnsi="Times New Roman Bold"/>
          <w:b/>
          <w:sz w:val="24"/>
        </w:rPr>
        <w:t>421</w:t>
      </w:r>
    </w:p>
    <w:p w14:paraId="2A015ED5" w14:textId="77777777" w:rsidR="00C04218" w:rsidRPr="0092752C" w:rsidRDefault="00C04218" w:rsidP="00067639">
      <w:pPr>
        <w:suppressLineNumbers/>
        <w:rPr>
          <w:rFonts w:ascii="Times New Roman Bold" w:hAnsi="Times New Roman Bold"/>
          <w:b/>
          <w:sz w:val="24"/>
        </w:rPr>
      </w:pPr>
    </w:p>
    <w:tbl>
      <w:tblPr>
        <w:tblW w:w="10009" w:type="dxa"/>
        <w:tblLayout w:type="fixed"/>
        <w:tblLook w:val="0000" w:firstRow="0" w:lastRow="0" w:firstColumn="0" w:lastColumn="0" w:noHBand="0" w:noVBand="0"/>
      </w:tblPr>
      <w:tblGrid>
        <w:gridCol w:w="4608"/>
        <w:gridCol w:w="288"/>
        <w:gridCol w:w="5113"/>
      </w:tblGrid>
      <w:tr w:rsidR="00C04218" w:rsidRPr="0092752C" w14:paraId="42E88903" w14:textId="77777777" w:rsidTr="00800B77">
        <w:trPr>
          <w:trHeight w:val="2043"/>
        </w:trPr>
        <w:tc>
          <w:tcPr>
            <w:tcW w:w="4608" w:type="dxa"/>
          </w:tcPr>
          <w:p w14:paraId="5077A2F6" w14:textId="77777777" w:rsidR="00934CA5" w:rsidRDefault="0035605C" w:rsidP="00934CA5">
            <w:pPr>
              <w:ind w:right="-468"/>
              <w:rPr>
                <w:rFonts w:ascii="Times New Roman Bold" w:hAnsi="Times New Roman Bold"/>
                <w:b/>
                <w:sz w:val="24"/>
              </w:rPr>
            </w:pPr>
            <w:r>
              <w:rPr>
                <w:rFonts w:ascii="Times New Roman Bold" w:hAnsi="Times New Roman Bold"/>
                <w:b/>
                <w:sz w:val="24"/>
              </w:rPr>
              <w:t xml:space="preserve">APPLICATION OF </w:t>
            </w:r>
            <w:r w:rsidR="00503F75">
              <w:rPr>
                <w:rFonts w:ascii="Times New Roman Bold" w:hAnsi="Times New Roman Bold"/>
                <w:b/>
                <w:sz w:val="24"/>
              </w:rPr>
              <w:t xml:space="preserve">CENTERPOINT </w:t>
            </w:r>
            <w:r w:rsidR="00934CA5">
              <w:rPr>
                <w:rFonts w:ascii="Times New Roman Bold" w:hAnsi="Times New Roman Bold"/>
                <w:b/>
                <w:sz w:val="24"/>
              </w:rPr>
              <w:t xml:space="preserve">ENERGY HOUSTON ELECTRIC, LLC </w:t>
            </w:r>
          </w:p>
          <w:p w14:paraId="7BB119B8" w14:textId="18B3A238" w:rsidR="002D01D3" w:rsidRPr="0092752C" w:rsidRDefault="00934CA5" w:rsidP="00934CA5">
            <w:pPr>
              <w:ind w:right="-468"/>
              <w:rPr>
                <w:rFonts w:ascii="Times New Roman Bold" w:hAnsi="Times New Roman Bold"/>
                <w:b/>
                <w:sz w:val="24"/>
              </w:rPr>
            </w:pPr>
            <w:r>
              <w:rPr>
                <w:rFonts w:ascii="Times New Roman Bold" w:hAnsi="Times New Roman Bold"/>
                <w:b/>
                <w:sz w:val="24"/>
              </w:rPr>
              <w:t>FOR AUTHORITY TO CHANGE RATES</w:t>
            </w:r>
            <w:r w:rsidR="00503F75">
              <w:rPr>
                <w:rFonts w:ascii="Times New Roman Bold" w:hAnsi="Times New Roman Bold"/>
                <w:b/>
                <w:sz w:val="24"/>
              </w:rPr>
              <w:t xml:space="preserve"> </w:t>
            </w:r>
          </w:p>
        </w:tc>
        <w:tc>
          <w:tcPr>
            <w:tcW w:w="288" w:type="dxa"/>
          </w:tcPr>
          <w:p w14:paraId="5434AFFD" w14:textId="77777777" w:rsidR="00C04218" w:rsidRPr="0092752C" w:rsidRDefault="00C04218" w:rsidP="005C3A86">
            <w:pPr>
              <w:tabs>
                <w:tab w:val="left" w:pos="612"/>
              </w:tabs>
              <w:jc w:val="center"/>
              <w:rPr>
                <w:rFonts w:ascii="Times New Roman Bold" w:hAnsi="Times New Roman Bold"/>
                <w:b/>
                <w:sz w:val="24"/>
              </w:rPr>
            </w:pPr>
            <w:r w:rsidRPr="0092752C">
              <w:rPr>
                <w:rFonts w:ascii="Times New Roman Bold" w:hAnsi="Times New Roman Bold"/>
                <w:b/>
                <w:sz w:val="24"/>
              </w:rPr>
              <w:t>§</w:t>
            </w:r>
          </w:p>
          <w:p w14:paraId="04505867" w14:textId="77777777" w:rsidR="00C04218" w:rsidRPr="0092752C" w:rsidRDefault="00C04218" w:rsidP="005C3A86">
            <w:pPr>
              <w:tabs>
                <w:tab w:val="left" w:pos="612"/>
              </w:tabs>
              <w:jc w:val="center"/>
              <w:rPr>
                <w:rFonts w:ascii="Times New Roman Bold" w:hAnsi="Times New Roman Bold"/>
                <w:b/>
                <w:sz w:val="24"/>
              </w:rPr>
            </w:pPr>
            <w:r w:rsidRPr="0092752C">
              <w:rPr>
                <w:rFonts w:ascii="Times New Roman Bold" w:hAnsi="Times New Roman Bold"/>
                <w:b/>
                <w:sz w:val="24"/>
              </w:rPr>
              <w:t>§</w:t>
            </w:r>
          </w:p>
          <w:p w14:paraId="195C1294" w14:textId="77777777" w:rsidR="002D01D3" w:rsidRDefault="002D01D3" w:rsidP="002D01D3">
            <w:pPr>
              <w:tabs>
                <w:tab w:val="left" w:pos="612"/>
              </w:tabs>
              <w:jc w:val="center"/>
              <w:rPr>
                <w:rFonts w:ascii="Times New Roman Bold" w:hAnsi="Times New Roman Bold"/>
                <w:b/>
                <w:sz w:val="24"/>
              </w:rPr>
            </w:pPr>
            <w:r w:rsidRPr="0092752C">
              <w:rPr>
                <w:rFonts w:ascii="Times New Roman Bold" w:hAnsi="Times New Roman Bold"/>
                <w:b/>
                <w:sz w:val="24"/>
              </w:rPr>
              <w:t>§</w:t>
            </w:r>
          </w:p>
          <w:p w14:paraId="7C418337" w14:textId="77777777" w:rsidR="002D01D3" w:rsidRDefault="002D01D3" w:rsidP="002D01D3">
            <w:pPr>
              <w:tabs>
                <w:tab w:val="left" w:pos="612"/>
              </w:tabs>
              <w:jc w:val="center"/>
              <w:rPr>
                <w:rFonts w:ascii="Times New Roman Bold" w:hAnsi="Times New Roman Bold"/>
                <w:b/>
                <w:sz w:val="24"/>
              </w:rPr>
            </w:pPr>
          </w:p>
          <w:p w14:paraId="7853D1CF" w14:textId="77777777" w:rsidR="00ED24BA" w:rsidRDefault="00ED24BA" w:rsidP="002D01D3">
            <w:pPr>
              <w:tabs>
                <w:tab w:val="left" w:pos="612"/>
              </w:tabs>
              <w:jc w:val="center"/>
              <w:rPr>
                <w:rFonts w:ascii="Times New Roman Bold" w:hAnsi="Times New Roman Bold"/>
                <w:b/>
                <w:sz w:val="24"/>
              </w:rPr>
            </w:pPr>
          </w:p>
          <w:p w14:paraId="42A4E3B7" w14:textId="77777777" w:rsidR="00ED24BA" w:rsidRDefault="00ED24BA" w:rsidP="002D01D3">
            <w:pPr>
              <w:tabs>
                <w:tab w:val="left" w:pos="612"/>
              </w:tabs>
              <w:jc w:val="center"/>
              <w:rPr>
                <w:rFonts w:ascii="Times New Roman Bold" w:hAnsi="Times New Roman Bold"/>
                <w:b/>
                <w:sz w:val="24"/>
              </w:rPr>
            </w:pPr>
          </w:p>
          <w:p w14:paraId="4AC0C483" w14:textId="77777777" w:rsidR="00ED24BA" w:rsidRPr="0092752C" w:rsidRDefault="00ED24BA" w:rsidP="002D01D3">
            <w:pPr>
              <w:tabs>
                <w:tab w:val="left" w:pos="612"/>
              </w:tabs>
              <w:jc w:val="center"/>
              <w:rPr>
                <w:rFonts w:ascii="Times New Roman Bold" w:hAnsi="Times New Roman Bold"/>
                <w:b/>
                <w:sz w:val="24"/>
              </w:rPr>
            </w:pPr>
          </w:p>
          <w:p w14:paraId="603FB80B" w14:textId="77777777" w:rsidR="00591495" w:rsidRPr="0092752C" w:rsidRDefault="00591495" w:rsidP="00C95A76">
            <w:pPr>
              <w:jc w:val="center"/>
              <w:rPr>
                <w:rFonts w:ascii="Times New Roman Bold" w:hAnsi="Times New Roman Bold"/>
                <w:b/>
                <w:sz w:val="24"/>
              </w:rPr>
            </w:pPr>
          </w:p>
        </w:tc>
        <w:tc>
          <w:tcPr>
            <w:tcW w:w="5113" w:type="dxa"/>
          </w:tcPr>
          <w:p w14:paraId="078471C4" w14:textId="77777777" w:rsidR="002D01D3" w:rsidRDefault="002D01D3" w:rsidP="00350319">
            <w:pPr>
              <w:pStyle w:val="Heading6"/>
              <w:ind w:left="0"/>
              <w:jc w:val="center"/>
              <w:rPr>
                <w:rFonts w:ascii="Times New Roman Bold" w:hAnsi="Times New Roman Bold"/>
              </w:rPr>
            </w:pPr>
            <w:r>
              <w:rPr>
                <w:rFonts w:ascii="Times New Roman Bold" w:hAnsi="Times New Roman Bold"/>
              </w:rPr>
              <w:t xml:space="preserve">BEFORE THE </w:t>
            </w:r>
            <w:r w:rsidR="00AC4042">
              <w:rPr>
                <w:rFonts w:ascii="Times New Roman Bold" w:hAnsi="Times New Roman Bold"/>
              </w:rPr>
              <w:t>STATE OFFICE</w:t>
            </w:r>
          </w:p>
          <w:p w14:paraId="7F0D11AA" w14:textId="77777777" w:rsidR="00350319" w:rsidRDefault="00C95A76" w:rsidP="00350319">
            <w:pPr>
              <w:pStyle w:val="Heading6"/>
              <w:ind w:left="0"/>
              <w:jc w:val="center"/>
              <w:rPr>
                <w:rFonts w:ascii="Times New Roman Bold" w:hAnsi="Times New Roman Bold"/>
              </w:rPr>
            </w:pPr>
            <w:r>
              <w:rPr>
                <w:rFonts w:ascii="Times New Roman Bold" w:hAnsi="Times New Roman Bold"/>
              </w:rPr>
              <w:t xml:space="preserve"> OF</w:t>
            </w:r>
          </w:p>
          <w:p w14:paraId="336BA011" w14:textId="77777777" w:rsidR="00CE45A1" w:rsidRPr="00400E05" w:rsidRDefault="00AC4042" w:rsidP="00400E05">
            <w:pPr>
              <w:jc w:val="center"/>
              <w:rPr>
                <w:b/>
                <w:sz w:val="24"/>
                <w:szCs w:val="24"/>
              </w:rPr>
            </w:pPr>
            <w:r>
              <w:rPr>
                <w:b/>
                <w:sz w:val="24"/>
                <w:szCs w:val="24"/>
              </w:rPr>
              <w:t>ADMINISTRATIVE HEARINGS</w:t>
            </w:r>
          </w:p>
        </w:tc>
      </w:tr>
    </w:tbl>
    <w:p w14:paraId="6DDD13F3" w14:textId="77777777" w:rsidR="00C04218" w:rsidRPr="0092752C" w:rsidRDefault="007C7E81" w:rsidP="008E0450">
      <w:pPr>
        <w:suppressLineNumbers/>
        <w:jc w:val="center"/>
        <w:rPr>
          <w:rFonts w:ascii="Arial" w:hAnsi="Arial"/>
          <w:b/>
        </w:rPr>
      </w:pPr>
      <w:r w:rsidRPr="0092752C">
        <w:object w:dxaOrig="6263" w:dyaOrig="5784" w14:anchorId="779AC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4in" o:ole="" fillcolor="window">
            <v:imagedata r:id="rId8" o:title=""/>
          </v:shape>
          <o:OLEObject Type="Embed" ProgID="CorelPhotoPaint.Image.8" ShapeID="_x0000_i1025" DrawAspect="Content" ObjectID="_1621778623" r:id="rId9"/>
        </w:object>
      </w:r>
    </w:p>
    <w:p w14:paraId="555345A4" w14:textId="77777777" w:rsidR="00ED24BA" w:rsidRDefault="00ED24BA" w:rsidP="005C3A86">
      <w:pPr>
        <w:suppressLineNumbers/>
        <w:spacing w:line="480" w:lineRule="auto"/>
        <w:jc w:val="center"/>
        <w:rPr>
          <w:b/>
          <w:sz w:val="24"/>
          <w:szCs w:val="24"/>
        </w:rPr>
      </w:pPr>
    </w:p>
    <w:p w14:paraId="79B9DA97" w14:textId="608C12C1" w:rsidR="00C04218" w:rsidRPr="00CC3CAD" w:rsidRDefault="00AD64D0" w:rsidP="005C3A86">
      <w:pPr>
        <w:suppressLineNumbers/>
        <w:spacing w:line="480" w:lineRule="auto"/>
        <w:jc w:val="center"/>
        <w:rPr>
          <w:b/>
          <w:sz w:val="24"/>
          <w:szCs w:val="24"/>
        </w:rPr>
      </w:pPr>
      <w:r>
        <w:rPr>
          <w:b/>
          <w:sz w:val="24"/>
          <w:szCs w:val="24"/>
        </w:rPr>
        <w:t>DIRECT</w:t>
      </w:r>
      <w:r w:rsidR="00C04218" w:rsidRPr="00CC3CAD">
        <w:rPr>
          <w:b/>
          <w:sz w:val="24"/>
          <w:szCs w:val="24"/>
        </w:rPr>
        <w:t xml:space="preserve"> TESTIMONY</w:t>
      </w:r>
      <w:r w:rsidR="00C9695D">
        <w:rPr>
          <w:b/>
          <w:sz w:val="24"/>
          <w:szCs w:val="24"/>
        </w:rPr>
        <w:t xml:space="preserve"> </w:t>
      </w:r>
      <w:r w:rsidR="00C04218" w:rsidRPr="00CC3CAD">
        <w:rPr>
          <w:b/>
          <w:sz w:val="24"/>
          <w:szCs w:val="24"/>
        </w:rPr>
        <w:t>OF</w:t>
      </w:r>
    </w:p>
    <w:p w14:paraId="6A03D4DB" w14:textId="4E66DD5B" w:rsidR="00067639" w:rsidRDefault="00503F75" w:rsidP="005C3A86">
      <w:pPr>
        <w:suppressLineNumbers/>
        <w:spacing w:line="480" w:lineRule="auto"/>
        <w:jc w:val="center"/>
        <w:rPr>
          <w:b/>
          <w:sz w:val="24"/>
          <w:szCs w:val="24"/>
        </w:rPr>
      </w:pPr>
      <w:r>
        <w:rPr>
          <w:b/>
          <w:sz w:val="24"/>
          <w:szCs w:val="24"/>
        </w:rPr>
        <w:t>JORGE ORDONEZ</w:t>
      </w:r>
    </w:p>
    <w:p w14:paraId="3009B518" w14:textId="77777777" w:rsidR="00CB58A1" w:rsidRPr="00CC3CAD" w:rsidRDefault="00CB58A1" w:rsidP="005C3A86">
      <w:pPr>
        <w:suppressLineNumbers/>
        <w:spacing w:line="480" w:lineRule="auto"/>
        <w:jc w:val="center"/>
        <w:rPr>
          <w:rFonts w:ascii="Times New Roman Bold" w:hAnsi="Times New Roman Bold"/>
          <w:b/>
          <w:sz w:val="24"/>
        </w:rPr>
      </w:pPr>
      <w:r w:rsidRPr="00CC3CAD">
        <w:rPr>
          <w:rFonts w:ascii="Times New Roman Bold" w:hAnsi="Times New Roman Bold"/>
          <w:b/>
          <w:sz w:val="24"/>
        </w:rPr>
        <w:t>RATE REGULATION DIVISION</w:t>
      </w:r>
    </w:p>
    <w:p w14:paraId="7F7523E5" w14:textId="77777777" w:rsidR="00C04218" w:rsidRPr="00CC3CAD" w:rsidRDefault="00C04218" w:rsidP="005C3A86">
      <w:pPr>
        <w:suppressLineNumbers/>
        <w:spacing w:line="480" w:lineRule="auto"/>
        <w:jc w:val="center"/>
        <w:rPr>
          <w:rFonts w:ascii="Times New Roman Bold" w:hAnsi="Times New Roman Bold"/>
          <w:b/>
          <w:sz w:val="24"/>
        </w:rPr>
      </w:pPr>
      <w:r w:rsidRPr="00CC3CAD">
        <w:rPr>
          <w:rFonts w:ascii="Times New Roman Bold" w:hAnsi="Times New Roman Bold"/>
          <w:b/>
          <w:sz w:val="24"/>
        </w:rPr>
        <w:t>PUBLIC UTILITY COMMISSION OF TEXAS</w:t>
      </w:r>
    </w:p>
    <w:p w14:paraId="65515AE2" w14:textId="6CBA6A5D" w:rsidR="0057330A" w:rsidRPr="00824643" w:rsidRDefault="00503F75" w:rsidP="00824643">
      <w:pPr>
        <w:suppressLineNumbers/>
        <w:spacing w:line="480" w:lineRule="auto"/>
        <w:jc w:val="center"/>
        <w:rPr>
          <w:rFonts w:ascii="Times New Roman Bold" w:hAnsi="Times New Roman Bold"/>
          <w:b/>
          <w:sz w:val="24"/>
        </w:rPr>
      </w:pPr>
      <w:r>
        <w:rPr>
          <w:rFonts w:ascii="Times New Roman Bold" w:hAnsi="Times New Roman Bold"/>
          <w:b/>
          <w:sz w:val="24"/>
        </w:rPr>
        <w:t xml:space="preserve">JUNE </w:t>
      </w:r>
      <w:r w:rsidR="00531CA8">
        <w:rPr>
          <w:rFonts w:ascii="Times New Roman Bold" w:hAnsi="Times New Roman Bold"/>
          <w:b/>
          <w:sz w:val="24"/>
        </w:rPr>
        <w:t>1</w:t>
      </w:r>
      <w:r w:rsidR="008C32F3">
        <w:rPr>
          <w:rFonts w:ascii="Times New Roman Bold" w:hAnsi="Times New Roman Bold"/>
          <w:b/>
          <w:sz w:val="24"/>
        </w:rPr>
        <w:t>2</w:t>
      </w:r>
      <w:r w:rsidR="00422BDE" w:rsidRPr="00E30932">
        <w:rPr>
          <w:rFonts w:ascii="Times New Roman Bold" w:hAnsi="Times New Roman Bold"/>
          <w:b/>
          <w:sz w:val="24"/>
        </w:rPr>
        <w:t>,</w:t>
      </w:r>
      <w:r w:rsidR="004440CC" w:rsidRPr="00E30932">
        <w:rPr>
          <w:rFonts w:ascii="Times New Roman Bold" w:hAnsi="Times New Roman Bold"/>
          <w:b/>
          <w:sz w:val="24"/>
        </w:rPr>
        <w:t xml:space="preserve"> 201</w:t>
      </w:r>
      <w:r>
        <w:rPr>
          <w:rFonts w:ascii="Times New Roman Bold" w:hAnsi="Times New Roman Bold"/>
          <w:b/>
          <w:sz w:val="24"/>
        </w:rPr>
        <w:t>9</w:t>
      </w:r>
    </w:p>
    <w:sdt>
      <w:sdtPr>
        <w:rPr>
          <w:rFonts w:ascii="Times New Roman" w:eastAsia="Times New Roman" w:hAnsi="Times New Roman" w:cs="Times New Roman"/>
          <w:b w:val="0"/>
          <w:bCs w:val="0"/>
          <w:color w:val="auto"/>
          <w:sz w:val="20"/>
          <w:szCs w:val="20"/>
          <w:lang w:eastAsia="en-US"/>
        </w:rPr>
        <w:id w:val="1444426914"/>
        <w:docPartObj>
          <w:docPartGallery w:val="Table of Contents"/>
          <w:docPartUnique/>
        </w:docPartObj>
      </w:sdtPr>
      <w:sdtEndPr>
        <w:rPr>
          <w:noProof/>
          <w:sz w:val="22"/>
          <w:szCs w:val="22"/>
        </w:rPr>
      </w:sdtEndPr>
      <w:sdtContent>
        <w:p w14:paraId="7D188536" w14:textId="77777777" w:rsidR="00FE64D6" w:rsidRPr="00B645DB" w:rsidRDefault="004253B8" w:rsidP="00503F75">
          <w:pPr>
            <w:pStyle w:val="TOCHeading"/>
            <w:suppressLineNumbers/>
            <w:spacing w:before="120" w:after="120"/>
            <w:jc w:val="center"/>
            <w:rPr>
              <w:rFonts w:ascii="Times New Roman" w:hAnsi="Times New Roman" w:cs="Times New Roman"/>
              <w:color w:val="auto"/>
            </w:rPr>
          </w:pPr>
          <w:r w:rsidRPr="00B645DB">
            <w:rPr>
              <w:rFonts w:ascii="Times New Roman" w:hAnsi="Times New Roman" w:cs="Times New Roman"/>
              <w:color w:val="auto"/>
            </w:rPr>
            <w:t>TABLE OF CONTENTS</w:t>
          </w:r>
        </w:p>
        <w:p w14:paraId="223A9508" w14:textId="77777777" w:rsidR="007F5C17" w:rsidRPr="007F5C17" w:rsidRDefault="00FE64D6">
          <w:pPr>
            <w:pStyle w:val="TOC1"/>
            <w:rPr>
              <w:rFonts w:eastAsiaTheme="minorEastAsia"/>
            </w:rPr>
          </w:pPr>
          <w:r w:rsidRPr="007F5C17">
            <w:rPr>
              <w:sz w:val="22"/>
              <w:szCs w:val="22"/>
            </w:rPr>
            <w:fldChar w:fldCharType="begin"/>
          </w:r>
          <w:r w:rsidRPr="007F5C17">
            <w:rPr>
              <w:sz w:val="22"/>
              <w:szCs w:val="22"/>
            </w:rPr>
            <w:instrText xml:space="preserve"> TOC \o "1-3" \h \z \u </w:instrText>
          </w:r>
          <w:r w:rsidRPr="007F5C17">
            <w:rPr>
              <w:sz w:val="22"/>
              <w:szCs w:val="22"/>
            </w:rPr>
            <w:fldChar w:fldCharType="separate"/>
          </w:r>
          <w:hyperlink w:anchor="_Toc10117663" w:history="1">
            <w:r w:rsidR="007F5C17" w:rsidRPr="007F5C17">
              <w:rPr>
                <w:rStyle w:val="Hyperlink"/>
              </w:rPr>
              <w:t>I.</w:t>
            </w:r>
            <w:r w:rsidR="007F5C17" w:rsidRPr="007F5C17">
              <w:rPr>
                <w:rFonts w:eastAsiaTheme="minorEastAsia"/>
              </w:rPr>
              <w:tab/>
            </w:r>
            <w:r w:rsidR="007F5C17" w:rsidRPr="007F5C17">
              <w:rPr>
                <w:rStyle w:val="Hyperlink"/>
              </w:rPr>
              <w:t>PROFESSIONAL QUALIFICATIONS</w:t>
            </w:r>
            <w:r w:rsidR="007F5C17" w:rsidRPr="007F5C17">
              <w:rPr>
                <w:webHidden/>
              </w:rPr>
              <w:tab/>
            </w:r>
            <w:r w:rsidR="007F5C17" w:rsidRPr="007F5C17">
              <w:rPr>
                <w:webHidden/>
              </w:rPr>
              <w:fldChar w:fldCharType="begin"/>
            </w:r>
            <w:r w:rsidR="007F5C17" w:rsidRPr="007F5C17">
              <w:rPr>
                <w:webHidden/>
              </w:rPr>
              <w:instrText xml:space="preserve"> PAGEREF _Toc10117663 \h </w:instrText>
            </w:r>
            <w:r w:rsidR="007F5C17" w:rsidRPr="007F5C17">
              <w:rPr>
                <w:webHidden/>
              </w:rPr>
            </w:r>
            <w:r w:rsidR="007F5C17" w:rsidRPr="007F5C17">
              <w:rPr>
                <w:webHidden/>
              </w:rPr>
              <w:fldChar w:fldCharType="separate"/>
            </w:r>
            <w:r w:rsidR="007D7247">
              <w:rPr>
                <w:webHidden/>
              </w:rPr>
              <w:t>4</w:t>
            </w:r>
            <w:r w:rsidR="007F5C17" w:rsidRPr="007F5C17">
              <w:rPr>
                <w:webHidden/>
              </w:rPr>
              <w:fldChar w:fldCharType="end"/>
            </w:r>
          </w:hyperlink>
        </w:p>
        <w:p w14:paraId="3C742A73" w14:textId="77777777" w:rsidR="007F5C17" w:rsidRPr="007F5C17" w:rsidRDefault="001637DA">
          <w:pPr>
            <w:pStyle w:val="TOC1"/>
            <w:rPr>
              <w:rFonts w:eastAsiaTheme="minorEastAsia"/>
            </w:rPr>
          </w:pPr>
          <w:hyperlink w:anchor="_Toc10117664" w:history="1">
            <w:r w:rsidR="007F5C17" w:rsidRPr="007F5C17">
              <w:rPr>
                <w:rStyle w:val="Hyperlink"/>
              </w:rPr>
              <w:t>II.</w:t>
            </w:r>
            <w:r w:rsidR="007F5C17" w:rsidRPr="007F5C17">
              <w:rPr>
                <w:rFonts w:eastAsiaTheme="minorEastAsia"/>
              </w:rPr>
              <w:tab/>
            </w:r>
            <w:r w:rsidR="007F5C17" w:rsidRPr="007F5C17">
              <w:rPr>
                <w:rStyle w:val="Hyperlink"/>
              </w:rPr>
              <w:t>PURPOSE AND SCOPE OF TESTIMONY</w:t>
            </w:r>
            <w:r w:rsidR="007F5C17" w:rsidRPr="007F5C17">
              <w:rPr>
                <w:webHidden/>
              </w:rPr>
              <w:tab/>
            </w:r>
            <w:r w:rsidR="007F5C17" w:rsidRPr="007F5C17">
              <w:rPr>
                <w:webHidden/>
              </w:rPr>
              <w:fldChar w:fldCharType="begin"/>
            </w:r>
            <w:r w:rsidR="007F5C17" w:rsidRPr="007F5C17">
              <w:rPr>
                <w:webHidden/>
              </w:rPr>
              <w:instrText xml:space="preserve"> PAGEREF _Toc10117664 \h </w:instrText>
            </w:r>
            <w:r w:rsidR="007F5C17" w:rsidRPr="007F5C17">
              <w:rPr>
                <w:webHidden/>
              </w:rPr>
            </w:r>
            <w:r w:rsidR="007F5C17" w:rsidRPr="007F5C17">
              <w:rPr>
                <w:webHidden/>
              </w:rPr>
              <w:fldChar w:fldCharType="separate"/>
            </w:r>
            <w:r w:rsidR="007D7247">
              <w:rPr>
                <w:webHidden/>
              </w:rPr>
              <w:t>5</w:t>
            </w:r>
            <w:r w:rsidR="007F5C17" w:rsidRPr="007F5C17">
              <w:rPr>
                <w:webHidden/>
              </w:rPr>
              <w:fldChar w:fldCharType="end"/>
            </w:r>
          </w:hyperlink>
        </w:p>
        <w:p w14:paraId="4F8D4FC0" w14:textId="77777777" w:rsidR="007F5C17" w:rsidRPr="007F5C17" w:rsidRDefault="001637DA">
          <w:pPr>
            <w:pStyle w:val="TOC1"/>
            <w:rPr>
              <w:rFonts w:eastAsiaTheme="minorEastAsia"/>
            </w:rPr>
          </w:pPr>
          <w:hyperlink w:anchor="_Toc10117665" w:history="1">
            <w:r w:rsidR="007F5C17" w:rsidRPr="007F5C17">
              <w:rPr>
                <w:rStyle w:val="Hyperlink"/>
                <w:bCs/>
              </w:rPr>
              <w:t>III.</w:t>
            </w:r>
            <w:r w:rsidR="007F5C17" w:rsidRPr="007F5C17">
              <w:rPr>
                <w:rFonts w:eastAsiaTheme="minorEastAsia"/>
              </w:rPr>
              <w:tab/>
            </w:r>
            <w:r w:rsidR="007F5C17" w:rsidRPr="007F5C17">
              <w:rPr>
                <w:rStyle w:val="Hyperlink"/>
                <w:bCs/>
              </w:rPr>
              <w:t>SUMMARY OF RECOMMENDATIONS</w:t>
            </w:r>
            <w:r w:rsidR="007F5C17" w:rsidRPr="007F5C17">
              <w:rPr>
                <w:webHidden/>
              </w:rPr>
              <w:tab/>
            </w:r>
            <w:r w:rsidR="007F5C17" w:rsidRPr="007F5C17">
              <w:rPr>
                <w:webHidden/>
              </w:rPr>
              <w:fldChar w:fldCharType="begin"/>
            </w:r>
            <w:r w:rsidR="007F5C17" w:rsidRPr="007F5C17">
              <w:rPr>
                <w:webHidden/>
              </w:rPr>
              <w:instrText xml:space="preserve"> PAGEREF _Toc10117665 \h </w:instrText>
            </w:r>
            <w:r w:rsidR="007F5C17" w:rsidRPr="007F5C17">
              <w:rPr>
                <w:webHidden/>
              </w:rPr>
            </w:r>
            <w:r w:rsidR="007F5C17" w:rsidRPr="007F5C17">
              <w:rPr>
                <w:webHidden/>
              </w:rPr>
              <w:fldChar w:fldCharType="separate"/>
            </w:r>
            <w:r w:rsidR="007D7247">
              <w:rPr>
                <w:webHidden/>
              </w:rPr>
              <w:t>7</w:t>
            </w:r>
            <w:r w:rsidR="007F5C17" w:rsidRPr="007F5C17">
              <w:rPr>
                <w:webHidden/>
              </w:rPr>
              <w:fldChar w:fldCharType="end"/>
            </w:r>
          </w:hyperlink>
        </w:p>
        <w:p w14:paraId="7B3947A5" w14:textId="77777777" w:rsidR="007F5C17" w:rsidRPr="007F5C17" w:rsidRDefault="001637DA">
          <w:pPr>
            <w:pStyle w:val="TOC1"/>
            <w:rPr>
              <w:rFonts w:eastAsiaTheme="minorEastAsia"/>
            </w:rPr>
          </w:pPr>
          <w:hyperlink w:anchor="_Toc10117666" w:history="1">
            <w:r w:rsidR="007F5C17" w:rsidRPr="007F5C17">
              <w:rPr>
                <w:rStyle w:val="Hyperlink"/>
              </w:rPr>
              <w:t>IV.</w:t>
            </w:r>
            <w:r w:rsidR="007F5C17" w:rsidRPr="007F5C17">
              <w:rPr>
                <w:rFonts w:eastAsiaTheme="minorEastAsia"/>
              </w:rPr>
              <w:tab/>
            </w:r>
            <w:r w:rsidR="007F5C17" w:rsidRPr="007F5C17">
              <w:rPr>
                <w:rStyle w:val="Hyperlink"/>
              </w:rPr>
              <w:t>BACKGROUND</w:t>
            </w:r>
            <w:r w:rsidR="007F5C17" w:rsidRPr="007F5C17">
              <w:rPr>
                <w:webHidden/>
              </w:rPr>
              <w:tab/>
            </w:r>
            <w:r w:rsidR="007F5C17" w:rsidRPr="007F5C17">
              <w:rPr>
                <w:webHidden/>
              </w:rPr>
              <w:fldChar w:fldCharType="begin"/>
            </w:r>
            <w:r w:rsidR="007F5C17" w:rsidRPr="007F5C17">
              <w:rPr>
                <w:webHidden/>
              </w:rPr>
              <w:instrText xml:space="preserve"> PAGEREF _Toc10117666 \h </w:instrText>
            </w:r>
            <w:r w:rsidR="007F5C17" w:rsidRPr="007F5C17">
              <w:rPr>
                <w:webHidden/>
              </w:rPr>
            </w:r>
            <w:r w:rsidR="007F5C17" w:rsidRPr="007F5C17">
              <w:rPr>
                <w:webHidden/>
              </w:rPr>
              <w:fldChar w:fldCharType="separate"/>
            </w:r>
            <w:r w:rsidR="007D7247">
              <w:rPr>
                <w:webHidden/>
              </w:rPr>
              <w:t>8</w:t>
            </w:r>
            <w:r w:rsidR="007F5C17" w:rsidRPr="007F5C17">
              <w:rPr>
                <w:webHidden/>
              </w:rPr>
              <w:fldChar w:fldCharType="end"/>
            </w:r>
          </w:hyperlink>
        </w:p>
        <w:p w14:paraId="5F7E8F68" w14:textId="77777777" w:rsidR="007F5C17" w:rsidRPr="007F5C17" w:rsidRDefault="001637DA">
          <w:pPr>
            <w:pStyle w:val="TOC1"/>
            <w:rPr>
              <w:rFonts w:eastAsiaTheme="minorEastAsia"/>
            </w:rPr>
          </w:pPr>
          <w:hyperlink w:anchor="_Toc10117667" w:history="1">
            <w:r w:rsidR="007F5C17" w:rsidRPr="007F5C17">
              <w:rPr>
                <w:rStyle w:val="Hyperlink"/>
              </w:rPr>
              <w:t>V.</w:t>
            </w:r>
            <w:r w:rsidR="007F5C17" w:rsidRPr="007F5C17">
              <w:rPr>
                <w:rFonts w:eastAsiaTheme="minorEastAsia"/>
              </w:rPr>
              <w:tab/>
            </w:r>
            <w:r w:rsidR="007F5C17" w:rsidRPr="007F5C17">
              <w:rPr>
                <w:rStyle w:val="Hyperlink"/>
              </w:rPr>
              <w:t>COST OF EQUITY</w:t>
            </w:r>
            <w:r w:rsidR="007F5C17" w:rsidRPr="007F5C17">
              <w:rPr>
                <w:webHidden/>
              </w:rPr>
              <w:tab/>
            </w:r>
            <w:r w:rsidR="007F5C17" w:rsidRPr="007F5C17">
              <w:rPr>
                <w:webHidden/>
              </w:rPr>
              <w:fldChar w:fldCharType="begin"/>
            </w:r>
            <w:r w:rsidR="007F5C17" w:rsidRPr="007F5C17">
              <w:rPr>
                <w:webHidden/>
              </w:rPr>
              <w:instrText xml:space="preserve"> PAGEREF _Toc10117667 \h </w:instrText>
            </w:r>
            <w:r w:rsidR="007F5C17" w:rsidRPr="007F5C17">
              <w:rPr>
                <w:webHidden/>
              </w:rPr>
            </w:r>
            <w:r w:rsidR="007F5C17" w:rsidRPr="007F5C17">
              <w:rPr>
                <w:webHidden/>
              </w:rPr>
              <w:fldChar w:fldCharType="separate"/>
            </w:r>
            <w:r w:rsidR="007D7247">
              <w:rPr>
                <w:webHidden/>
              </w:rPr>
              <w:t>10</w:t>
            </w:r>
            <w:r w:rsidR="007F5C17" w:rsidRPr="007F5C17">
              <w:rPr>
                <w:webHidden/>
              </w:rPr>
              <w:fldChar w:fldCharType="end"/>
            </w:r>
          </w:hyperlink>
        </w:p>
        <w:p w14:paraId="15507C66" w14:textId="77777777" w:rsidR="007F5C17" w:rsidRPr="007F5C17" w:rsidRDefault="001637DA">
          <w:pPr>
            <w:pStyle w:val="TOC2"/>
            <w:rPr>
              <w:rFonts w:ascii="Times New Roman" w:hAnsi="Times New Roman" w:cs="Times New Roman"/>
              <w:noProof/>
              <w:sz w:val="20"/>
              <w:szCs w:val="20"/>
              <w:lang w:eastAsia="en-US"/>
            </w:rPr>
          </w:pPr>
          <w:hyperlink w:anchor="_Toc10117668" w:history="1">
            <w:r w:rsidR="007F5C17" w:rsidRPr="007F5C17">
              <w:rPr>
                <w:rStyle w:val="Hyperlink"/>
                <w:rFonts w:ascii="Times New Roman" w:hAnsi="Times New Roman" w:cs="Times New Roman"/>
                <w:noProof/>
                <w:sz w:val="20"/>
                <w:szCs w:val="20"/>
              </w:rPr>
              <w:t>A.</w:t>
            </w:r>
            <w:r w:rsidR="007F5C17" w:rsidRPr="007F5C17">
              <w:rPr>
                <w:rFonts w:ascii="Times New Roman" w:hAnsi="Times New Roman" w:cs="Times New Roman"/>
                <w:noProof/>
                <w:sz w:val="20"/>
                <w:szCs w:val="20"/>
                <w:lang w:eastAsia="en-US"/>
              </w:rPr>
              <w:tab/>
            </w:r>
            <w:r w:rsidR="007F5C17" w:rsidRPr="007F5C17">
              <w:rPr>
                <w:rStyle w:val="Hyperlink"/>
                <w:rFonts w:ascii="Times New Roman" w:hAnsi="Times New Roman" w:cs="Times New Roman"/>
                <w:noProof/>
                <w:sz w:val="20"/>
                <w:szCs w:val="20"/>
              </w:rPr>
              <w:t>PRINCIPLES UNDERLYING COST OF EQUITY</w:t>
            </w:r>
            <w:r w:rsidR="007F5C17" w:rsidRPr="007F5C17">
              <w:rPr>
                <w:rFonts w:ascii="Times New Roman" w:hAnsi="Times New Roman" w:cs="Times New Roman"/>
                <w:noProof/>
                <w:webHidden/>
                <w:sz w:val="20"/>
                <w:szCs w:val="20"/>
              </w:rPr>
              <w:tab/>
            </w:r>
            <w:r w:rsidR="007F5C17" w:rsidRPr="007F5C17">
              <w:rPr>
                <w:rFonts w:ascii="Times New Roman" w:hAnsi="Times New Roman" w:cs="Times New Roman"/>
                <w:noProof/>
                <w:webHidden/>
                <w:sz w:val="20"/>
                <w:szCs w:val="20"/>
              </w:rPr>
              <w:fldChar w:fldCharType="begin"/>
            </w:r>
            <w:r w:rsidR="007F5C17" w:rsidRPr="007F5C17">
              <w:rPr>
                <w:rFonts w:ascii="Times New Roman" w:hAnsi="Times New Roman" w:cs="Times New Roman"/>
                <w:noProof/>
                <w:webHidden/>
                <w:sz w:val="20"/>
                <w:szCs w:val="20"/>
              </w:rPr>
              <w:instrText xml:space="preserve"> PAGEREF _Toc10117668 \h </w:instrText>
            </w:r>
            <w:r w:rsidR="007F5C17" w:rsidRPr="007F5C17">
              <w:rPr>
                <w:rFonts w:ascii="Times New Roman" w:hAnsi="Times New Roman" w:cs="Times New Roman"/>
                <w:noProof/>
                <w:webHidden/>
                <w:sz w:val="20"/>
                <w:szCs w:val="20"/>
              </w:rPr>
            </w:r>
            <w:r w:rsidR="007F5C17" w:rsidRPr="007F5C17">
              <w:rPr>
                <w:rFonts w:ascii="Times New Roman" w:hAnsi="Times New Roman" w:cs="Times New Roman"/>
                <w:noProof/>
                <w:webHidden/>
                <w:sz w:val="20"/>
                <w:szCs w:val="20"/>
              </w:rPr>
              <w:fldChar w:fldCharType="separate"/>
            </w:r>
            <w:r w:rsidR="007D7247">
              <w:rPr>
                <w:rFonts w:ascii="Times New Roman" w:hAnsi="Times New Roman" w:cs="Times New Roman"/>
                <w:noProof/>
                <w:webHidden/>
                <w:sz w:val="20"/>
                <w:szCs w:val="20"/>
              </w:rPr>
              <w:t>10</w:t>
            </w:r>
            <w:r w:rsidR="007F5C17" w:rsidRPr="007F5C17">
              <w:rPr>
                <w:rFonts w:ascii="Times New Roman" w:hAnsi="Times New Roman" w:cs="Times New Roman"/>
                <w:noProof/>
                <w:webHidden/>
                <w:sz w:val="20"/>
                <w:szCs w:val="20"/>
              </w:rPr>
              <w:fldChar w:fldCharType="end"/>
            </w:r>
          </w:hyperlink>
        </w:p>
        <w:p w14:paraId="4BC112F2" w14:textId="77777777" w:rsidR="007F5C17" w:rsidRPr="007F5C17" w:rsidRDefault="001637DA">
          <w:pPr>
            <w:pStyle w:val="TOC2"/>
            <w:rPr>
              <w:rFonts w:ascii="Times New Roman" w:hAnsi="Times New Roman" w:cs="Times New Roman"/>
              <w:noProof/>
              <w:sz w:val="20"/>
              <w:szCs w:val="20"/>
              <w:lang w:eastAsia="en-US"/>
            </w:rPr>
          </w:pPr>
          <w:hyperlink w:anchor="_Toc10117669" w:history="1">
            <w:r w:rsidR="007F5C17" w:rsidRPr="007F5C17">
              <w:rPr>
                <w:rStyle w:val="Hyperlink"/>
                <w:rFonts w:ascii="Times New Roman" w:hAnsi="Times New Roman" w:cs="Times New Roman"/>
                <w:noProof/>
                <w:sz w:val="20"/>
                <w:szCs w:val="20"/>
              </w:rPr>
              <w:t>B.</w:t>
            </w:r>
            <w:r w:rsidR="007F5C17" w:rsidRPr="007F5C17">
              <w:rPr>
                <w:rFonts w:ascii="Times New Roman" w:hAnsi="Times New Roman" w:cs="Times New Roman"/>
                <w:noProof/>
                <w:sz w:val="20"/>
                <w:szCs w:val="20"/>
                <w:lang w:eastAsia="en-US"/>
              </w:rPr>
              <w:tab/>
            </w:r>
            <w:r w:rsidR="007F5C17" w:rsidRPr="007F5C17">
              <w:rPr>
                <w:rStyle w:val="Hyperlink"/>
                <w:rFonts w:ascii="Times New Roman" w:hAnsi="Times New Roman" w:cs="Times New Roman"/>
                <w:noProof/>
                <w:sz w:val="20"/>
                <w:szCs w:val="20"/>
              </w:rPr>
              <w:t>COMPARABLE COMPANY ANALYSIS</w:t>
            </w:r>
            <w:r w:rsidR="007F5C17" w:rsidRPr="007F5C17">
              <w:rPr>
                <w:rFonts w:ascii="Times New Roman" w:hAnsi="Times New Roman" w:cs="Times New Roman"/>
                <w:noProof/>
                <w:webHidden/>
                <w:sz w:val="20"/>
                <w:szCs w:val="20"/>
              </w:rPr>
              <w:tab/>
            </w:r>
            <w:r w:rsidR="007F5C17" w:rsidRPr="007F5C17">
              <w:rPr>
                <w:rFonts w:ascii="Times New Roman" w:hAnsi="Times New Roman" w:cs="Times New Roman"/>
                <w:noProof/>
                <w:webHidden/>
                <w:sz w:val="20"/>
                <w:szCs w:val="20"/>
              </w:rPr>
              <w:fldChar w:fldCharType="begin"/>
            </w:r>
            <w:r w:rsidR="007F5C17" w:rsidRPr="007F5C17">
              <w:rPr>
                <w:rFonts w:ascii="Times New Roman" w:hAnsi="Times New Roman" w:cs="Times New Roman"/>
                <w:noProof/>
                <w:webHidden/>
                <w:sz w:val="20"/>
                <w:szCs w:val="20"/>
              </w:rPr>
              <w:instrText xml:space="preserve"> PAGEREF _Toc10117669 \h </w:instrText>
            </w:r>
            <w:r w:rsidR="007F5C17" w:rsidRPr="007F5C17">
              <w:rPr>
                <w:rFonts w:ascii="Times New Roman" w:hAnsi="Times New Roman" w:cs="Times New Roman"/>
                <w:noProof/>
                <w:webHidden/>
                <w:sz w:val="20"/>
                <w:szCs w:val="20"/>
              </w:rPr>
            </w:r>
            <w:r w:rsidR="007F5C17" w:rsidRPr="007F5C17">
              <w:rPr>
                <w:rFonts w:ascii="Times New Roman" w:hAnsi="Times New Roman" w:cs="Times New Roman"/>
                <w:noProof/>
                <w:webHidden/>
                <w:sz w:val="20"/>
                <w:szCs w:val="20"/>
              </w:rPr>
              <w:fldChar w:fldCharType="separate"/>
            </w:r>
            <w:r w:rsidR="007D7247">
              <w:rPr>
                <w:rFonts w:ascii="Times New Roman" w:hAnsi="Times New Roman" w:cs="Times New Roman"/>
                <w:noProof/>
                <w:webHidden/>
                <w:sz w:val="20"/>
                <w:szCs w:val="20"/>
              </w:rPr>
              <w:t>13</w:t>
            </w:r>
            <w:r w:rsidR="007F5C17" w:rsidRPr="007F5C17">
              <w:rPr>
                <w:rFonts w:ascii="Times New Roman" w:hAnsi="Times New Roman" w:cs="Times New Roman"/>
                <w:noProof/>
                <w:webHidden/>
                <w:sz w:val="20"/>
                <w:szCs w:val="20"/>
              </w:rPr>
              <w:fldChar w:fldCharType="end"/>
            </w:r>
          </w:hyperlink>
        </w:p>
        <w:p w14:paraId="4900A91A" w14:textId="77777777" w:rsidR="007F5C17" w:rsidRPr="007F5C17" w:rsidRDefault="001637DA">
          <w:pPr>
            <w:pStyle w:val="TOC2"/>
            <w:rPr>
              <w:rFonts w:ascii="Times New Roman" w:hAnsi="Times New Roman" w:cs="Times New Roman"/>
              <w:noProof/>
              <w:sz w:val="20"/>
              <w:szCs w:val="20"/>
              <w:lang w:eastAsia="en-US"/>
            </w:rPr>
          </w:pPr>
          <w:hyperlink w:anchor="_Toc10117670" w:history="1">
            <w:r w:rsidR="007F5C17" w:rsidRPr="007F5C17">
              <w:rPr>
                <w:rStyle w:val="Hyperlink"/>
                <w:rFonts w:ascii="Times New Roman" w:hAnsi="Times New Roman" w:cs="Times New Roman"/>
                <w:noProof/>
                <w:sz w:val="20"/>
                <w:szCs w:val="20"/>
              </w:rPr>
              <w:t>C.</w:t>
            </w:r>
            <w:r w:rsidR="007F5C17" w:rsidRPr="007F5C17">
              <w:rPr>
                <w:rFonts w:ascii="Times New Roman" w:hAnsi="Times New Roman" w:cs="Times New Roman"/>
                <w:noProof/>
                <w:sz w:val="20"/>
                <w:szCs w:val="20"/>
                <w:lang w:eastAsia="en-US"/>
              </w:rPr>
              <w:tab/>
            </w:r>
            <w:r w:rsidR="007F5C17" w:rsidRPr="007F5C17">
              <w:rPr>
                <w:rStyle w:val="Hyperlink"/>
                <w:rFonts w:ascii="Times New Roman" w:hAnsi="Times New Roman" w:cs="Times New Roman"/>
                <w:noProof/>
                <w:sz w:val="20"/>
                <w:szCs w:val="20"/>
              </w:rPr>
              <w:t>DISCOUNTED CASH FLOW ANALYSIS</w:t>
            </w:r>
            <w:r w:rsidR="007F5C17" w:rsidRPr="007F5C17">
              <w:rPr>
                <w:rFonts w:ascii="Times New Roman" w:hAnsi="Times New Roman" w:cs="Times New Roman"/>
                <w:noProof/>
                <w:webHidden/>
                <w:sz w:val="20"/>
                <w:szCs w:val="20"/>
              </w:rPr>
              <w:tab/>
            </w:r>
            <w:r w:rsidR="007F5C17" w:rsidRPr="007F5C17">
              <w:rPr>
                <w:rFonts w:ascii="Times New Roman" w:hAnsi="Times New Roman" w:cs="Times New Roman"/>
                <w:noProof/>
                <w:webHidden/>
                <w:sz w:val="20"/>
                <w:szCs w:val="20"/>
              </w:rPr>
              <w:fldChar w:fldCharType="begin"/>
            </w:r>
            <w:r w:rsidR="007F5C17" w:rsidRPr="007F5C17">
              <w:rPr>
                <w:rFonts w:ascii="Times New Roman" w:hAnsi="Times New Roman" w:cs="Times New Roman"/>
                <w:noProof/>
                <w:webHidden/>
                <w:sz w:val="20"/>
                <w:szCs w:val="20"/>
              </w:rPr>
              <w:instrText xml:space="preserve"> PAGEREF _Toc10117670 \h </w:instrText>
            </w:r>
            <w:r w:rsidR="007F5C17" w:rsidRPr="007F5C17">
              <w:rPr>
                <w:rFonts w:ascii="Times New Roman" w:hAnsi="Times New Roman" w:cs="Times New Roman"/>
                <w:noProof/>
                <w:webHidden/>
                <w:sz w:val="20"/>
                <w:szCs w:val="20"/>
              </w:rPr>
            </w:r>
            <w:r w:rsidR="007F5C17" w:rsidRPr="007F5C17">
              <w:rPr>
                <w:rFonts w:ascii="Times New Roman" w:hAnsi="Times New Roman" w:cs="Times New Roman"/>
                <w:noProof/>
                <w:webHidden/>
                <w:sz w:val="20"/>
                <w:szCs w:val="20"/>
              </w:rPr>
              <w:fldChar w:fldCharType="separate"/>
            </w:r>
            <w:r w:rsidR="007D7247">
              <w:rPr>
                <w:rFonts w:ascii="Times New Roman" w:hAnsi="Times New Roman" w:cs="Times New Roman"/>
                <w:noProof/>
                <w:webHidden/>
                <w:sz w:val="20"/>
                <w:szCs w:val="20"/>
              </w:rPr>
              <w:t>15</w:t>
            </w:r>
            <w:r w:rsidR="007F5C17" w:rsidRPr="007F5C17">
              <w:rPr>
                <w:rFonts w:ascii="Times New Roman" w:hAnsi="Times New Roman" w:cs="Times New Roman"/>
                <w:noProof/>
                <w:webHidden/>
                <w:sz w:val="20"/>
                <w:szCs w:val="20"/>
              </w:rPr>
              <w:fldChar w:fldCharType="end"/>
            </w:r>
          </w:hyperlink>
        </w:p>
        <w:p w14:paraId="39642675" w14:textId="77777777" w:rsidR="007F5C17" w:rsidRPr="007F5C17" w:rsidRDefault="001637DA">
          <w:pPr>
            <w:pStyle w:val="TOC2"/>
            <w:rPr>
              <w:rFonts w:ascii="Times New Roman" w:hAnsi="Times New Roman" w:cs="Times New Roman"/>
              <w:noProof/>
              <w:sz w:val="20"/>
              <w:szCs w:val="20"/>
              <w:lang w:eastAsia="en-US"/>
            </w:rPr>
          </w:pPr>
          <w:hyperlink w:anchor="_Toc10117671" w:history="1">
            <w:r w:rsidR="007F5C17" w:rsidRPr="007F5C17">
              <w:rPr>
                <w:rStyle w:val="Hyperlink"/>
                <w:rFonts w:ascii="Times New Roman" w:hAnsi="Times New Roman" w:cs="Times New Roman"/>
                <w:noProof/>
                <w:sz w:val="20"/>
                <w:szCs w:val="20"/>
              </w:rPr>
              <w:t>D.</w:t>
            </w:r>
            <w:r w:rsidR="007F5C17" w:rsidRPr="007F5C17">
              <w:rPr>
                <w:rFonts w:ascii="Times New Roman" w:hAnsi="Times New Roman" w:cs="Times New Roman"/>
                <w:noProof/>
                <w:sz w:val="20"/>
                <w:szCs w:val="20"/>
                <w:lang w:eastAsia="en-US"/>
              </w:rPr>
              <w:tab/>
            </w:r>
            <w:r w:rsidR="007F5C17" w:rsidRPr="007F5C17">
              <w:rPr>
                <w:rStyle w:val="Hyperlink"/>
                <w:rFonts w:ascii="Times New Roman" w:hAnsi="Times New Roman" w:cs="Times New Roman"/>
                <w:noProof/>
                <w:sz w:val="20"/>
                <w:szCs w:val="20"/>
              </w:rPr>
              <w:t>RISK PREMIUM ESTIMATES OF THE COST OF EQUITY</w:t>
            </w:r>
            <w:r w:rsidR="007F5C17" w:rsidRPr="007F5C17">
              <w:rPr>
                <w:rFonts w:ascii="Times New Roman" w:hAnsi="Times New Roman" w:cs="Times New Roman"/>
                <w:noProof/>
                <w:webHidden/>
                <w:sz w:val="20"/>
                <w:szCs w:val="20"/>
              </w:rPr>
              <w:tab/>
            </w:r>
            <w:r w:rsidR="007F5C17" w:rsidRPr="007F5C17">
              <w:rPr>
                <w:rFonts w:ascii="Times New Roman" w:hAnsi="Times New Roman" w:cs="Times New Roman"/>
                <w:noProof/>
                <w:webHidden/>
                <w:sz w:val="20"/>
                <w:szCs w:val="20"/>
              </w:rPr>
              <w:fldChar w:fldCharType="begin"/>
            </w:r>
            <w:r w:rsidR="007F5C17" w:rsidRPr="007F5C17">
              <w:rPr>
                <w:rFonts w:ascii="Times New Roman" w:hAnsi="Times New Roman" w:cs="Times New Roman"/>
                <w:noProof/>
                <w:webHidden/>
                <w:sz w:val="20"/>
                <w:szCs w:val="20"/>
              </w:rPr>
              <w:instrText xml:space="preserve"> PAGEREF _Toc10117671 \h </w:instrText>
            </w:r>
            <w:r w:rsidR="007F5C17" w:rsidRPr="007F5C17">
              <w:rPr>
                <w:rFonts w:ascii="Times New Roman" w:hAnsi="Times New Roman" w:cs="Times New Roman"/>
                <w:noProof/>
                <w:webHidden/>
                <w:sz w:val="20"/>
                <w:szCs w:val="20"/>
              </w:rPr>
            </w:r>
            <w:r w:rsidR="007F5C17" w:rsidRPr="007F5C17">
              <w:rPr>
                <w:rFonts w:ascii="Times New Roman" w:hAnsi="Times New Roman" w:cs="Times New Roman"/>
                <w:noProof/>
                <w:webHidden/>
                <w:sz w:val="20"/>
                <w:szCs w:val="20"/>
              </w:rPr>
              <w:fldChar w:fldCharType="separate"/>
            </w:r>
            <w:r w:rsidR="007D7247">
              <w:rPr>
                <w:rFonts w:ascii="Times New Roman" w:hAnsi="Times New Roman" w:cs="Times New Roman"/>
                <w:noProof/>
                <w:webHidden/>
                <w:sz w:val="20"/>
                <w:szCs w:val="20"/>
              </w:rPr>
              <w:t>22</w:t>
            </w:r>
            <w:r w:rsidR="007F5C17" w:rsidRPr="007F5C17">
              <w:rPr>
                <w:rFonts w:ascii="Times New Roman" w:hAnsi="Times New Roman" w:cs="Times New Roman"/>
                <w:noProof/>
                <w:webHidden/>
                <w:sz w:val="20"/>
                <w:szCs w:val="20"/>
              </w:rPr>
              <w:fldChar w:fldCharType="end"/>
            </w:r>
          </w:hyperlink>
        </w:p>
        <w:p w14:paraId="52243271" w14:textId="77777777" w:rsidR="007F5C17" w:rsidRPr="007F5C17" w:rsidRDefault="001637DA">
          <w:pPr>
            <w:pStyle w:val="TOC2"/>
            <w:rPr>
              <w:rFonts w:ascii="Times New Roman" w:hAnsi="Times New Roman" w:cs="Times New Roman"/>
              <w:noProof/>
              <w:sz w:val="20"/>
              <w:szCs w:val="20"/>
              <w:lang w:eastAsia="en-US"/>
            </w:rPr>
          </w:pPr>
          <w:hyperlink w:anchor="_Toc10117672" w:history="1">
            <w:r w:rsidR="007F5C17" w:rsidRPr="007F5C17">
              <w:rPr>
                <w:rStyle w:val="Hyperlink"/>
                <w:rFonts w:ascii="Times New Roman" w:hAnsi="Times New Roman" w:cs="Times New Roman"/>
                <w:noProof/>
                <w:sz w:val="20"/>
                <w:szCs w:val="20"/>
              </w:rPr>
              <w:t>E.</w:t>
            </w:r>
            <w:r w:rsidR="007F5C17" w:rsidRPr="007F5C17">
              <w:rPr>
                <w:rFonts w:ascii="Times New Roman" w:hAnsi="Times New Roman" w:cs="Times New Roman"/>
                <w:noProof/>
                <w:sz w:val="20"/>
                <w:szCs w:val="20"/>
                <w:lang w:eastAsia="en-US"/>
              </w:rPr>
              <w:tab/>
            </w:r>
            <w:r w:rsidR="007F5C17" w:rsidRPr="007F5C17">
              <w:rPr>
                <w:rStyle w:val="Hyperlink"/>
                <w:rFonts w:ascii="Times New Roman" w:hAnsi="Times New Roman" w:cs="Times New Roman"/>
                <w:noProof/>
                <w:sz w:val="20"/>
                <w:szCs w:val="20"/>
              </w:rPr>
              <w:t>SUMMARY OF COST OF EQUITY ANALYSES</w:t>
            </w:r>
            <w:r w:rsidR="007F5C17" w:rsidRPr="007F5C17">
              <w:rPr>
                <w:rFonts w:ascii="Times New Roman" w:hAnsi="Times New Roman" w:cs="Times New Roman"/>
                <w:noProof/>
                <w:webHidden/>
                <w:sz w:val="20"/>
                <w:szCs w:val="20"/>
              </w:rPr>
              <w:tab/>
            </w:r>
            <w:r w:rsidR="007F5C17" w:rsidRPr="007F5C17">
              <w:rPr>
                <w:rFonts w:ascii="Times New Roman" w:hAnsi="Times New Roman" w:cs="Times New Roman"/>
                <w:noProof/>
                <w:webHidden/>
                <w:sz w:val="20"/>
                <w:szCs w:val="20"/>
              </w:rPr>
              <w:fldChar w:fldCharType="begin"/>
            </w:r>
            <w:r w:rsidR="007F5C17" w:rsidRPr="007F5C17">
              <w:rPr>
                <w:rFonts w:ascii="Times New Roman" w:hAnsi="Times New Roman" w:cs="Times New Roman"/>
                <w:noProof/>
                <w:webHidden/>
                <w:sz w:val="20"/>
                <w:szCs w:val="20"/>
              </w:rPr>
              <w:instrText xml:space="preserve"> PAGEREF _Toc10117672 \h </w:instrText>
            </w:r>
            <w:r w:rsidR="007F5C17" w:rsidRPr="007F5C17">
              <w:rPr>
                <w:rFonts w:ascii="Times New Roman" w:hAnsi="Times New Roman" w:cs="Times New Roman"/>
                <w:noProof/>
                <w:webHidden/>
                <w:sz w:val="20"/>
                <w:szCs w:val="20"/>
              </w:rPr>
            </w:r>
            <w:r w:rsidR="007F5C17" w:rsidRPr="007F5C17">
              <w:rPr>
                <w:rFonts w:ascii="Times New Roman" w:hAnsi="Times New Roman" w:cs="Times New Roman"/>
                <w:noProof/>
                <w:webHidden/>
                <w:sz w:val="20"/>
                <w:szCs w:val="20"/>
              </w:rPr>
              <w:fldChar w:fldCharType="separate"/>
            </w:r>
            <w:r w:rsidR="007D7247">
              <w:rPr>
                <w:rFonts w:ascii="Times New Roman" w:hAnsi="Times New Roman" w:cs="Times New Roman"/>
                <w:noProof/>
                <w:webHidden/>
                <w:sz w:val="20"/>
                <w:szCs w:val="20"/>
              </w:rPr>
              <w:t>28</w:t>
            </w:r>
            <w:r w:rsidR="007F5C17" w:rsidRPr="007F5C17">
              <w:rPr>
                <w:rFonts w:ascii="Times New Roman" w:hAnsi="Times New Roman" w:cs="Times New Roman"/>
                <w:noProof/>
                <w:webHidden/>
                <w:sz w:val="20"/>
                <w:szCs w:val="20"/>
              </w:rPr>
              <w:fldChar w:fldCharType="end"/>
            </w:r>
          </w:hyperlink>
        </w:p>
        <w:p w14:paraId="51AFEE05" w14:textId="77777777" w:rsidR="007F5C17" w:rsidRPr="007F5C17" w:rsidRDefault="001637DA">
          <w:pPr>
            <w:pStyle w:val="TOC1"/>
            <w:rPr>
              <w:rFonts w:eastAsiaTheme="minorEastAsia"/>
            </w:rPr>
          </w:pPr>
          <w:hyperlink w:anchor="_Toc10117673" w:history="1">
            <w:r w:rsidR="007F5C17" w:rsidRPr="007F5C17">
              <w:rPr>
                <w:rStyle w:val="Hyperlink"/>
              </w:rPr>
              <w:t>VI.</w:t>
            </w:r>
            <w:r w:rsidR="007F5C17" w:rsidRPr="007F5C17">
              <w:rPr>
                <w:rFonts w:eastAsiaTheme="minorEastAsia"/>
              </w:rPr>
              <w:tab/>
            </w:r>
            <w:r w:rsidR="007F5C17" w:rsidRPr="007F5C17">
              <w:rPr>
                <w:rStyle w:val="Hyperlink"/>
              </w:rPr>
              <w:t>COST OF DEBT</w:t>
            </w:r>
            <w:r w:rsidR="007F5C17" w:rsidRPr="007F5C17">
              <w:rPr>
                <w:webHidden/>
              </w:rPr>
              <w:tab/>
            </w:r>
            <w:r w:rsidR="007F5C17" w:rsidRPr="007F5C17">
              <w:rPr>
                <w:webHidden/>
              </w:rPr>
              <w:fldChar w:fldCharType="begin"/>
            </w:r>
            <w:r w:rsidR="007F5C17" w:rsidRPr="007F5C17">
              <w:rPr>
                <w:webHidden/>
              </w:rPr>
              <w:instrText xml:space="preserve"> PAGEREF _Toc10117673 \h </w:instrText>
            </w:r>
            <w:r w:rsidR="007F5C17" w:rsidRPr="007F5C17">
              <w:rPr>
                <w:webHidden/>
              </w:rPr>
            </w:r>
            <w:r w:rsidR="007F5C17" w:rsidRPr="007F5C17">
              <w:rPr>
                <w:webHidden/>
              </w:rPr>
              <w:fldChar w:fldCharType="separate"/>
            </w:r>
            <w:r w:rsidR="007D7247">
              <w:rPr>
                <w:webHidden/>
              </w:rPr>
              <w:t>30</w:t>
            </w:r>
            <w:r w:rsidR="007F5C17" w:rsidRPr="007F5C17">
              <w:rPr>
                <w:webHidden/>
              </w:rPr>
              <w:fldChar w:fldCharType="end"/>
            </w:r>
          </w:hyperlink>
        </w:p>
        <w:p w14:paraId="654B0EE7" w14:textId="77777777" w:rsidR="007F5C17" w:rsidRPr="007F5C17" w:rsidRDefault="001637DA">
          <w:pPr>
            <w:pStyle w:val="TOC1"/>
            <w:rPr>
              <w:rFonts w:eastAsiaTheme="minorEastAsia"/>
            </w:rPr>
          </w:pPr>
          <w:hyperlink w:anchor="_Toc10117674" w:history="1">
            <w:r w:rsidR="007F5C17" w:rsidRPr="007F5C17">
              <w:rPr>
                <w:rStyle w:val="Hyperlink"/>
              </w:rPr>
              <w:t>VII.</w:t>
            </w:r>
            <w:r w:rsidR="007F5C17" w:rsidRPr="007F5C17">
              <w:rPr>
                <w:rFonts w:eastAsiaTheme="minorEastAsia"/>
              </w:rPr>
              <w:tab/>
            </w:r>
            <w:r w:rsidR="007F5C17" w:rsidRPr="007F5C17">
              <w:rPr>
                <w:rStyle w:val="Hyperlink"/>
              </w:rPr>
              <w:t>CAPITAL STRUCTURE</w:t>
            </w:r>
            <w:r w:rsidR="007F5C17" w:rsidRPr="007F5C17">
              <w:rPr>
                <w:webHidden/>
              </w:rPr>
              <w:tab/>
            </w:r>
            <w:r w:rsidR="007F5C17" w:rsidRPr="007F5C17">
              <w:rPr>
                <w:webHidden/>
              </w:rPr>
              <w:fldChar w:fldCharType="begin"/>
            </w:r>
            <w:r w:rsidR="007F5C17" w:rsidRPr="007F5C17">
              <w:rPr>
                <w:webHidden/>
              </w:rPr>
              <w:instrText xml:space="preserve"> PAGEREF _Toc10117674 \h </w:instrText>
            </w:r>
            <w:r w:rsidR="007F5C17" w:rsidRPr="007F5C17">
              <w:rPr>
                <w:webHidden/>
              </w:rPr>
            </w:r>
            <w:r w:rsidR="007F5C17" w:rsidRPr="007F5C17">
              <w:rPr>
                <w:webHidden/>
              </w:rPr>
              <w:fldChar w:fldCharType="separate"/>
            </w:r>
            <w:r w:rsidR="007D7247">
              <w:rPr>
                <w:webHidden/>
              </w:rPr>
              <w:t>30</w:t>
            </w:r>
            <w:r w:rsidR="007F5C17" w:rsidRPr="007F5C17">
              <w:rPr>
                <w:webHidden/>
              </w:rPr>
              <w:fldChar w:fldCharType="end"/>
            </w:r>
          </w:hyperlink>
        </w:p>
        <w:p w14:paraId="0B87B300" w14:textId="77777777" w:rsidR="007F5C17" w:rsidRPr="007F5C17" w:rsidRDefault="001637DA">
          <w:pPr>
            <w:pStyle w:val="TOC1"/>
            <w:rPr>
              <w:rFonts w:eastAsiaTheme="minorEastAsia"/>
            </w:rPr>
          </w:pPr>
          <w:hyperlink w:anchor="_Toc10117675" w:history="1">
            <w:r w:rsidR="007F5C17" w:rsidRPr="007F5C17">
              <w:rPr>
                <w:rStyle w:val="Hyperlink"/>
              </w:rPr>
              <w:t>VIII.</w:t>
            </w:r>
            <w:r w:rsidR="007F5C17" w:rsidRPr="007F5C17">
              <w:rPr>
                <w:rFonts w:eastAsiaTheme="minorEastAsia"/>
              </w:rPr>
              <w:tab/>
            </w:r>
            <w:r w:rsidR="007F5C17" w:rsidRPr="007F5C17">
              <w:rPr>
                <w:rStyle w:val="Hyperlink"/>
              </w:rPr>
              <w:t>OVERALL RATE OF RETURN</w:t>
            </w:r>
            <w:r w:rsidR="007F5C17" w:rsidRPr="007F5C17">
              <w:rPr>
                <w:webHidden/>
              </w:rPr>
              <w:tab/>
            </w:r>
            <w:r w:rsidR="007F5C17" w:rsidRPr="007F5C17">
              <w:rPr>
                <w:webHidden/>
              </w:rPr>
              <w:fldChar w:fldCharType="begin"/>
            </w:r>
            <w:r w:rsidR="007F5C17" w:rsidRPr="007F5C17">
              <w:rPr>
                <w:webHidden/>
              </w:rPr>
              <w:instrText xml:space="preserve"> PAGEREF _Toc10117675 \h </w:instrText>
            </w:r>
            <w:r w:rsidR="007F5C17" w:rsidRPr="007F5C17">
              <w:rPr>
                <w:webHidden/>
              </w:rPr>
            </w:r>
            <w:r w:rsidR="007F5C17" w:rsidRPr="007F5C17">
              <w:rPr>
                <w:webHidden/>
              </w:rPr>
              <w:fldChar w:fldCharType="separate"/>
            </w:r>
            <w:r w:rsidR="007D7247">
              <w:rPr>
                <w:webHidden/>
              </w:rPr>
              <w:t>38</w:t>
            </w:r>
            <w:r w:rsidR="007F5C17" w:rsidRPr="007F5C17">
              <w:rPr>
                <w:webHidden/>
              </w:rPr>
              <w:fldChar w:fldCharType="end"/>
            </w:r>
          </w:hyperlink>
        </w:p>
        <w:p w14:paraId="6FEABCDF" w14:textId="77777777" w:rsidR="007F5C17" w:rsidRPr="007F5C17" w:rsidRDefault="001637DA">
          <w:pPr>
            <w:pStyle w:val="TOC1"/>
            <w:rPr>
              <w:rFonts w:eastAsiaTheme="minorEastAsia"/>
              <w:sz w:val="22"/>
              <w:szCs w:val="22"/>
            </w:rPr>
          </w:pPr>
          <w:hyperlink w:anchor="_Toc10117676" w:history="1">
            <w:r w:rsidR="007F5C17" w:rsidRPr="007F5C17">
              <w:rPr>
                <w:rStyle w:val="Hyperlink"/>
              </w:rPr>
              <w:t>IX.</w:t>
            </w:r>
            <w:r w:rsidR="007F5C17" w:rsidRPr="007F5C17">
              <w:rPr>
                <w:rFonts w:eastAsiaTheme="minorEastAsia"/>
              </w:rPr>
              <w:tab/>
            </w:r>
            <w:r w:rsidR="007F5C17" w:rsidRPr="007F5C17">
              <w:rPr>
                <w:rStyle w:val="Hyperlink"/>
              </w:rPr>
              <w:t>HURRICANE HARVEY CARRYING COSTS</w:t>
            </w:r>
            <w:r w:rsidR="007F5C17" w:rsidRPr="007F5C17">
              <w:rPr>
                <w:webHidden/>
              </w:rPr>
              <w:tab/>
            </w:r>
            <w:r w:rsidR="007F5C17" w:rsidRPr="007F5C17">
              <w:rPr>
                <w:webHidden/>
              </w:rPr>
              <w:fldChar w:fldCharType="begin"/>
            </w:r>
            <w:r w:rsidR="007F5C17" w:rsidRPr="007F5C17">
              <w:rPr>
                <w:webHidden/>
              </w:rPr>
              <w:instrText xml:space="preserve"> PAGEREF _Toc10117676 \h </w:instrText>
            </w:r>
            <w:r w:rsidR="007F5C17" w:rsidRPr="007F5C17">
              <w:rPr>
                <w:webHidden/>
              </w:rPr>
            </w:r>
            <w:r w:rsidR="007F5C17" w:rsidRPr="007F5C17">
              <w:rPr>
                <w:webHidden/>
              </w:rPr>
              <w:fldChar w:fldCharType="separate"/>
            </w:r>
            <w:r w:rsidR="007D7247">
              <w:rPr>
                <w:webHidden/>
              </w:rPr>
              <w:t>39</w:t>
            </w:r>
            <w:r w:rsidR="007F5C17" w:rsidRPr="007F5C17">
              <w:rPr>
                <w:webHidden/>
              </w:rPr>
              <w:fldChar w:fldCharType="end"/>
            </w:r>
          </w:hyperlink>
        </w:p>
        <w:p w14:paraId="6306A710" w14:textId="0801212B" w:rsidR="00EA2916" w:rsidRPr="007F5C17" w:rsidRDefault="00FE64D6" w:rsidP="00B26BA5">
          <w:pPr>
            <w:suppressLineNumbers/>
          </w:pPr>
          <w:r w:rsidRPr="007F5C17">
            <w:rPr>
              <w:b/>
              <w:bCs/>
              <w:noProof/>
              <w:sz w:val="22"/>
              <w:szCs w:val="22"/>
            </w:rPr>
            <w:fldChar w:fldCharType="end"/>
          </w:r>
        </w:p>
      </w:sdtContent>
    </w:sdt>
    <w:p w14:paraId="13A8BD2B" w14:textId="77777777" w:rsidR="0066700B" w:rsidRDefault="0066700B" w:rsidP="0066700B">
      <w:pPr>
        <w:suppressLineNumbers/>
        <w:rPr>
          <w:b/>
          <w:sz w:val="24"/>
        </w:rPr>
      </w:pPr>
      <w:r>
        <w:br w:type="page"/>
      </w:r>
    </w:p>
    <w:p w14:paraId="3196A318" w14:textId="48E0CE20" w:rsidR="00D03CED" w:rsidRPr="0092752C" w:rsidRDefault="002D67A5" w:rsidP="001C0E53">
      <w:pPr>
        <w:pStyle w:val="BodyText"/>
        <w:suppressLineNumbers/>
        <w:spacing w:line="240" w:lineRule="auto"/>
        <w:jc w:val="center"/>
      </w:pPr>
      <w:r w:rsidRPr="0092752C">
        <w:lastRenderedPageBreak/>
        <w:t xml:space="preserve">LIST OF </w:t>
      </w:r>
      <w:r w:rsidR="00101B63" w:rsidRPr="0092752C">
        <w:t>ATTACHMENTS</w:t>
      </w:r>
    </w:p>
    <w:p w14:paraId="664D8410" w14:textId="77777777" w:rsidR="00D03CED" w:rsidRDefault="00D03CED" w:rsidP="001C0E53">
      <w:pPr>
        <w:pStyle w:val="BodyText"/>
        <w:suppressLineNumbers/>
        <w:spacing w:line="240" w:lineRule="auto"/>
        <w:rPr>
          <w:szCs w:val="24"/>
        </w:rPr>
      </w:pPr>
      <w:bookmarkStart w:id="1" w:name="_Ref495998790"/>
    </w:p>
    <w:p w14:paraId="76AA8883" w14:textId="47853859" w:rsidR="00D03CED" w:rsidRPr="00D03CED" w:rsidRDefault="00503F75" w:rsidP="00737168">
      <w:pPr>
        <w:pStyle w:val="BodyText"/>
        <w:suppressLineNumbers/>
        <w:tabs>
          <w:tab w:val="left" w:pos="2520"/>
        </w:tabs>
        <w:spacing w:line="240" w:lineRule="auto"/>
        <w:ind w:left="360"/>
        <w:rPr>
          <w:b w:val="0"/>
          <w:szCs w:val="24"/>
        </w:rPr>
      </w:pPr>
      <w:r>
        <w:rPr>
          <w:b w:val="0"/>
          <w:szCs w:val="24"/>
        </w:rPr>
        <w:t>JO</w:t>
      </w:r>
      <w:r w:rsidR="00281CF9" w:rsidRPr="00D03CED">
        <w:rPr>
          <w:b w:val="0"/>
          <w:szCs w:val="24"/>
        </w:rPr>
        <w:t>-1</w:t>
      </w:r>
      <w:r w:rsidR="0035605C">
        <w:rPr>
          <w:b w:val="0"/>
          <w:szCs w:val="24"/>
        </w:rPr>
        <w:tab/>
      </w:r>
      <w:r w:rsidR="0035605C" w:rsidRPr="0035605C">
        <w:rPr>
          <w:b w:val="0"/>
          <w:szCs w:val="24"/>
        </w:rPr>
        <w:t>Weighted</w:t>
      </w:r>
      <w:r w:rsidR="0021195A">
        <w:rPr>
          <w:b w:val="0"/>
          <w:szCs w:val="24"/>
        </w:rPr>
        <w:t xml:space="preserve"> </w:t>
      </w:r>
      <w:r w:rsidR="0035605C" w:rsidRPr="0035605C">
        <w:rPr>
          <w:b w:val="0"/>
          <w:szCs w:val="24"/>
        </w:rPr>
        <w:t>Average Cost of Capital</w:t>
      </w:r>
    </w:p>
    <w:p w14:paraId="02B1DF24" w14:textId="77777777" w:rsidR="00D03CED" w:rsidRPr="00D03CED" w:rsidRDefault="00D03CED" w:rsidP="00737168">
      <w:pPr>
        <w:pStyle w:val="BodyText"/>
        <w:suppressLineNumbers/>
        <w:tabs>
          <w:tab w:val="left" w:pos="3600"/>
        </w:tabs>
        <w:spacing w:line="240" w:lineRule="auto"/>
        <w:ind w:left="360"/>
        <w:rPr>
          <w:b w:val="0"/>
          <w:szCs w:val="24"/>
        </w:rPr>
      </w:pPr>
    </w:p>
    <w:p w14:paraId="6FD8D1D0" w14:textId="31727100" w:rsidR="00281CF9" w:rsidRDefault="00503F75" w:rsidP="00737168">
      <w:pPr>
        <w:pStyle w:val="BodyText"/>
        <w:suppressLineNumbers/>
        <w:tabs>
          <w:tab w:val="left" w:pos="2520"/>
        </w:tabs>
        <w:spacing w:line="240" w:lineRule="auto"/>
        <w:ind w:left="360"/>
        <w:rPr>
          <w:b w:val="0"/>
          <w:szCs w:val="24"/>
        </w:rPr>
      </w:pPr>
      <w:r>
        <w:rPr>
          <w:b w:val="0"/>
          <w:szCs w:val="24"/>
        </w:rPr>
        <w:t>JO</w:t>
      </w:r>
      <w:r w:rsidR="00281CF9" w:rsidRPr="00D03CED">
        <w:rPr>
          <w:b w:val="0"/>
          <w:szCs w:val="24"/>
        </w:rPr>
        <w:t>-2</w:t>
      </w:r>
      <w:r w:rsidR="00D03CED">
        <w:rPr>
          <w:szCs w:val="24"/>
        </w:rPr>
        <w:tab/>
      </w:r>
      <w:r w:rsidR="0035605C" w:rsidRPr="0035605C">
        <w:rPr>
          <w:b w:val="0"/>
          <w:szCs w:val="24"/>
        </w:rPr>
        <w:t>Selection Criteria for Comparable Companies and Earnings Growth</w:t>
      </w:r>
    </w:p>
    <w:p w14:paraId="39787D2B" w14:textId="77777777" w:rsidR="00751C81" w:rsidRDefault="00751C81" w:rsidP="00737168">
      <w:pPr>
        <w:pStyle w:val="BodyText"/>
        <w:suppressLineNumbers/>
        <w:tabs>
          <w:tab w:val="left" w:pos="2520"/>
        </w:tabs>
        <w:spacing w:line="240" w:lineRule="auto"/>
        <w:ind w:left="360"/>
        <w:rPr>
          <w:b w:val="0"/>
          <w:szCs w:val="24"/>
        </w:rPr>
      </w:pPr>
    </w:p>
    <w:p w14:paraId="5E66A373" w14:textId="6E77090C" w:rsidR="00751C81" w:rsidRDefault="00503F75" w:rsidP="00737168">
      <w:pPr>
        <w:pStyle w:val="BodyText"/>
        <w:suppressLineNumbers/>
        <w:tabs>
          <w:tab w:val="left" w:pos="2520"/>
        </w:tabs>
        <w:spacing w:line="240" w:lineRule="auto"/>
        <w:ind w:left="360"/>
        <w:rPr>
          <w:b w:val="0"/>
          <w:szCs w:val="24"/>
        </w:rPr>
      </w:pPr>
      <w:r>
        <w:rPr>
          <w:b w:val="0"/>
          <w:szCs w:val="24"/>
        </w:rPr>
        <w:t>JO</w:t>
      </w:r>
      <w:r w:rsidR="00751C81">
        <w:rPr>
          <w:b w:val="0"/>
          <w:szCs w:val="24"/>
        </w:rPr>
        <w:t>-3</w:t>
      </w:r>
      <w:r w:rsidR="00751C81">
        <w:rPr>
          <w:b w:val="0"/>
          <w:szCs w:val="24"/>
        </w:rPr>
        <w:tab/>
      </w:r>
      <w:r w:rsidR="00751C81" w:rsidRPr="00751C81">
        <w:rPr>
          <w:b w:val="0"/>
          <w:szCs w:val="24"/>
        </w:rPr>
        <w:t>Average Stock Prices</w:t>
      </w:r>
    </w:p>
    <w:p w14:paraId="28FF5F47" w14:textId="77777777" w:rsidR="00751C81" w:rsidRDefault="00751C81" w:rsidP="00737168">
      <w:pPr>
        <w:pStyle w:val="BodyText"/>
        <w:suppressLineNumbers/>
        <w:tabs>
          <w:tab w:val="left" w:pos="2520"/>
        </w:tabs>
        <w:spacing w:line="240" w:lineRule="auto"/>
        <w:ind w:left="360"/>
        <w:rPr>
          <w:b w:val="0"/>
          <w:szCs w:val="24"/>
        </w:rPr>
      </w:pPr>
    </w:p>
    <w:p w14:paraId="67F6E090" w14:textId="6F87EF86" w:rsidR="00751C81" w:rsidRDefault="00503F75" w:rsidP="00737168">
      <w:pPr>
        <w:pStyle w:val="BodyText"/>
        <w:suppressLineNumbers/>
        <w:tabs>
          <w:tab w:val="left" w:pos="2520"/>
        </w:tabs>
        <w:spacing w:line="240" w:lineRule="auto"/>
        <w:ind w:left="360"/>
        <w:rPr>
          <w:b w:val="0"/>
          <w:szCs w:val="24"/>
        </w:rPr>
      </w:pPr>
      <w:r>
        <w:rPr>
          <w:b w:val="0"/>
          <w:szCs w:val="24"/>
        </w:rPr>
        <w:t>JO</w:t>
      </w:r>
      <w:r w:rsidR="00751C81">
        <w:rPr>
          <w:b w:val="0"/>
          <w:szCs w:val="24"/>
        </w:rPr>
        <w:t>-4</w:t>
      </w:r>
      <w:r w:rsidR="00751C81">
        <w:rPr>
          <w:b w:val="0"/>
          <w:szCs w:val="24"/>
        </w:rPr>
        <w:tab/>
      </w:r>
      <w:r w:rsidR="00751C81" w:rsidRPr="00751C81">
        <w:rPr>
          <w:b w:val="0"/>
          <w:szCs w:val="24"/>
        </w:rPr>
        <w:t>Forecasted Dividends</w:t>
      </w:r>
    </w:p>
    <w:p w14:paraId="7C303177" w14:textId="77777777" w:rsidR="00751C81" w:rsidRDefault="00751C81" w:rsidP="00737168">
      <w:pPr>
        <w:pStyle w:val="BodyText"/>
        <w:suppressLineNumbers/>
        <w:tabs>
          <w:tab w:val="left" w:pos="2520"/>
        </w:tabs>
        <w:spacing w:line="240" w:lineRule="auto"/>
        <w:ind w:left="360"/>
        <w:rPr>
          <w:b w:val="0"/>
          <w:szCs w:val="24"/>
        </w:rPr>
      </w:pPr>
    </w:p>
    <w:p w14:paraId="5FE6A8F3" w14:textId="12B885C1" w:rsidR="00751C81" w:rsidRDefault="00503F75" w:rsidP="00737168">
      <w:pPr>
        <w:pStyle w:val="BodyText"/>
        <w:suppressLineNumbers/>
        <w:tabs>
          <w:tab w:val="left" w:pos="2520"/>
        </w:tabs>
        <w:spacing w:line="240" w:lineRule="auto"/>
        <w:ind w:left="360"/>
        <w:rPr>
          <w:b w:val="0"/>
          <w:szCs w:val="24"/>
        </w:rPr>
      </w:pPr>
      <w:r>
        <w:rPr>
          <w:b w:val="0"/>
          <w:szCs w:val="24"/>
        </w:rPr>
        <w:t>JO</w:t>
      </w:r>
      <w:r w:rsidR="00751C81">
        <w:rPr>
          <w:b w:val="0"/>
          <w:szCs w:val="24"/>
        </w:rPr>
        <w:t>-5</w:t>
      </w:r>
      <w:r w:rsidR="00751C81">
        <w:rPr>
          <w:b w:val="0"/>
          <w:szCs w:val="24"/>
        </w:rPr>
        <w:tab/>
      </w:r>
      <w:r w:rsidR="00751C81" w:rsidRPr="00751C81">
        <w:rPr>
          <w:b w:val="0"/>
          <w:szCs w:val="24"/>
        </w:rPr>
        <w:t>Single-Stage Discounted Cash Flow</w:t>
      </w:r>
    </w:p>
    <w:p w14:paraId="0A1EF739" w14:textId="77777777" w:rsidR="00751C81" w:rsidRDefault="00751C81" w:rsidP="00737168">
      <w:pPr>
        <w:pStyle w:val="BodyText"/>
        <w:suppressLineNumbers/>
        <w:tabs>
          <w:tab w:val="left" w:pos="2520"/>
        </w:tabs>
        <w:spacing w:line="240" w:lineRule="auto"/>
        <w:ind w:left="360"/>
        <w:rPr>
          <w:b w:val="0"/>
          <w:szCs w:val="24"/>
        </w:rPr>
      </w:pPr>
    </w:p>
    <w:p w14:paraId="60FEF1EA" w14:textId="6A0DC236" w:rsidR="00751C81" w:rsidRDefault="00503F75" w:rsidP="00737168">
      <w:pPr>
        <w:pStyle w:val="BodyText"/>
        <w:suppressLineNumbers/>
        <w:tabs>
          <w:tab w:val="left" w:pos="2520"/>
        </w:tabs>
        <w:spacing w:line="240" w:lineRule="auto"/>
        <w:ind w:left="360"/>
        <w:rPr>
          <w:b w:val="0"/>
          <w:szCs w:val="24"/>
        </w:rPr>
      </w:pPr>
      <w:r>
        <w:rPr>
          <w:b w:val="0"/>
          <w:szCs w:val="24"/>
        </w:rPr>
        <w:t>JO</w:t>
      </w:r>
      <w:r w:rsidR="00751C81">
        <w:rPr>
          <w:b w:val="0"/>
          <w:szCs w:val="24"/>
        </w:rPr>
        <w:t>-6</w:t>
      </w:r>
      <w:r w:rsidR="00751C81">
        <w:rPr>
          <w:b w:val="0"/>
          <w:szCs w:val="24"/>
        </w:rPr>
        <w:tab/>
      </w:r>
      <w:r w:rsidR="00751C81" w:rsidRPr="00751C81">
        <w:rPr>
          <w:b w:val="0"/>
          <w:szCs w:val="24"/>
        </w:rPr>
        <w:t>Multistage Discounted Cash Flow</w:t>
      </w:r>
    </w:p>
    <w:p w14:paraId="17838200" w14:textId="77777777" w:rsidR="00751C81" w:rsidRDefault="00751C81" w:rsidP="00737168">
      <w:pPr>
        <w:pStyle w:val="BodyText"/>
        <w:suppressLineNumbers/>
        <w:tabs>
          <w:tab w:val="left" w:pos="2520"/>
        </w:tabs>
        <w:spacing w:line="240" w:lineRule="auto"/>
        <w:ind w:left="360"/>
        <w:rPr>
          <w:b w:val="0"/>
          <w:szCs w:val="24"/>
        </w:rPr>
      </w:pPr>
    </w:p>
    <w:p w14:paraId="2B1F0A66" w14:textId="4D9B1A9C" w:rsidR="00751C81" w:rsidRDefault="00503F75" w:rsidP="00737168">
      <w:pPr>
        <w:pStyle w:val="BodyText"/>
        <w:suppressLineNumbers/>
        <w:tabs>
          <w:tab w:val="left" w:pos="2520"/>
        </w:tabs>
        <w:spacing w:line="240" w:lineRule="auto"/>
        <w:ind w:left="360"/>
        <w:rPr>
          <w:b w:val="0"/>
          <w:szCs w:val="24"/>
        </w:rPr>
      </w:pPr>
      <w:r>
        <w:rPr>
          <w:b w:val="0"/>
          <w:szCs w:val="24"/>
        </w:rPr>
        <w:t>JO</w:t>
      </w:r>
      <w:r w:rsidR="00751C81">
        <w:rPr>
          <w:b w:val="0"/>
          <w:szCs w:val="24"/>
        </w:rPr>
        <w:t>-7</w:t>
      </w:r>
      <w:r w:rsidR="00751C81">
        <w:rPr>
          <w:b w:val="0"/>
          <w:szCs w:val="24"/>
        </w:rPr>
        <w:tab/>
      </w:r>
      <w:r w:rsidR="00751C81" w:rsidRPr="00751C81">
        <w:rPr>
          <w:b w:val="0"/>
          <w:szCs w:val="24"/>
        </w:rPr>
        <w:t>Conventional Risk Premium Analysis</w:t>
      </w:r>
    </w:p>
    <w:p w14:paraId="4C6CF129" w14:textId="77777777" w:rsidR="00751C81" w:rsidRDefault="00751C81" w:rsidP="00737168">
      <w:pPr>
        <w:pStyle w:val="BodyText"/>
        <w:suppressLineNumbers/>
        <w:tabs>
          <w:tab w:val="left" w:pos="2520"/>
        </w:tabs>
        <w:spacing w:line="240" w:lineRule="auto"/>
        <w:ind w:left="360"/>
        <w:rPr>
          <w:b w:val="0"/>
          <w:szCs w:val="24"/>
        </w:rPr>
      </w:pPr>
    </w:p>
    <w:p w14:paraId="0A6C8345" w14:textId="412946FC" w:rsidR="00751C81" w:rsidRDefault="00503F75" w:rsidP="00737168">
      <w:pPr>
        <w:pStyle w:val="BodyText"/>
        <w:suppressLineNumbers/>
        <w:tabs>
          <w:tab w:val="left" w:pos="2520"/>
        </w:tabs>
        <w:spacing w:line="240" w:lineRule="auto"/>
        <w:ind w:left="360"/>
        <w:rPr>
          <w:b w:val="0"/>
          <w:szCs w:val="24"/>
        </w:rPr>
      </w:pPr>
      <w:r>
        <w:rPr>
          <w:b w:val="0"/>
          <w:szCs w:val="24"/>
        </w:rPr>
        <w:t>JO</w:t>
      </w:r>
      <w:r w:rsidR="00751C81">
        <w:rPr>
          <w:b w:val="0"/>
          <w:szCs w:val="24"/>
        </w:rPr>
        <w:t>-8</w:t>
      </w:r>
      <w:r w:rsidR="00751C81">
        <w:rPr>
          <w:b w:val="0"/>
          <w:szCs w:val="24"/>
        </w:rPr>
        <w:tab/>
      </w:r>
      <w:r w:rsidR="00751C81" w:rsidRPr="00751C81">
        <w:rPr>
          <w:b w:val="0"/>
          <w:szCs w:val="24"/>
        </w:rPr>
        <w:t>Capital Asset Pricing Model</w:t>
      </w:r>
    </w:p>
    <w:p w14:paraId="06C2A2CA" w14:textId="77777777" w:rsidR="00751C81" w:rsidRDefault="00751C81" w:rsidP="00737168">
      <w:pPr>
        <w:pStyle w:val="BodyText"/>
        <w:suppressLineNumbers/>
        <w:tabs>
          <w:tab w:val="left" w:pos="2520"/>
        </w:tabs>
        <w:spacing w:line="240" w:lineRule="auto"/>
        <w:ind w:left="360"/>
        <w:rPr>
          <w:b w:val="0"/>
          <w:szCs w:val="24"/>
        </w:rPr>
      </w:pPr>
    </w:p>
    <w:p w14:paraId="796B33E5" w14:textId="75B380CE" w:rsidR="00751C81" w:rsidRDefault="00503F75" w:rsidP="00737168">
      <w:pPr>
        <w:pStyle w:val="BodyText"/>
        <w:suppressLineNumbers/>
        <w:tabs>
          <w:tab w:val="left" w:pos="2520"/>
        </w:tabs>
        <w:spacing w:line="240" w:lineRule="auto"/>
        <w:ind w:left="360"/>
        <w:rPr>
          <w:b w:val="0"/>
          <w:szCs w:val="24"/>
        </w:rPr>
      </w:pPr>
      <w:r>
        <w:rPr>
          <w:b w:val="0"/>
          <w:szCs w:val="24"/>
        </w:rPr>
        <w:t>JO</w:t>
      </w:r>
      <w:r w:rsidR="00751C81">
        <w:rPr>
          <w:b w:val="0"/>
          <w:szCs w:val="24"/>
        </w:rPr>
        <w:t>-9</w:t>
      </w:r>
      <w:r w:rsidR="00751C81">
        <w:rPr>
          <w:b w:val="0"/>
          <w:szCs w:val="24"/>
        </w:rPr>
        <w:tab/>
      </w:r>
      <w:r w:rsidR="00751C81" w:rsidRPr="00751C81">
        <w:rPr>
          <w:b w:val="0"/>
          <w:szCs w:val="24"/>
        </w:rPr>
        <w:t>Return on Equity</w:t>
      </w:r>
    </w:p>
    <w:p w14:paraId="46D965C3" w14:textId="77777777" w:rsidR="001C0E53" w:rsidRDefault="001C0E53" w:rsidP="00737168">
      <w:pPr>
        <w:pStyle w:val="BodyText"/>
        <w:suppressLineNumbers/>
        <w:tabs>
          <w:tab w:val="left" w:pos="2520"/>
        </w:tabs>
        <w:spacing w:line="240" w:lineRule="auto"/>
        <w:ind w:left="360"/>
        <w:rPr>
          <w:b w:val="0"/>
          <w:szCs w:val="24"/>
        </w:rPr>
      </w:pPr>
    </w:p>
    <w:p w14:paraId="30F5978F" w14:textId="142CED93" w:rsidR="001C0E53" w:rsidRDefault="00503F75" w:rsidP="001C0E53">
      <w:pPr>
        <w:pStyle w:val="BodyText"/>
        <w:suppressLineNumbers/>
        <w:tabs>
          <w:tab w:val="left" w:pos="2520"/>
        </w:tabs>
        <w:spacing w:line="240" w:lineRule="auto"/>
        <w:ind w:left="360"/>
        <w:rPr>
          <w:b w:val="0"/>
          <w:szCs w:val="24"/>
        </w:rPr>
      </w:pPr>
      <w:r>
        <w:rPr>
          <w:b w:val="0"/>
          <w:szCs w:val="24"/>
        </w:rPr>
        <w:t>JO</w:t>
      </w:r>
      <w:r w:rsidR="001C0E53" w:rsidRPr="00D03CED">
        <w:rPr>
          <w:b w:val="0"/>
          <w:szCs w:val="24"/>
        </w:rPr>
        <w:t>-1</w:t>
      </w:r>
      <w:r w:rsidR="001C0E53">
        <w:rPr>
          <w:b w:val="0"/>
          <w:szCs w:val="24"/>
        </w:rPr>
        <w:t>0</w:t>
      </w:r>
      <w:r w:rsidR="001C0E53" w:rsidRPr="00D03CED">
        <w:rPr>
          <w:b w:val="0"/>
          <w:szCs w:val="24"/>
        </w:rPr>
        <w:tab/>
        <w:t>Curriculum Vitae</w:t>
      </w:r>
    </w:p>
    <w:p w14:paraId="27AC9759" w14:textId="77777777" w:rsidR="00B337C1" w:rsidRDefault="00B337C1" w:rsidP="001C0E53">
      <w:pPr>
        <w:pStyle w:val="BodyText"/>
        <w:suppressLineNumbers/>
        <w:tabs>
          <w:tab w:val="left" w:pos="2520"/>
        </w:tabs>
        <w:spacing w:line="240" w:lineRule="auto"/>
        <w:ind w:left="360"/>
        <w:rPr>
          <w:b w:val="0"/>
          <w:szCs w:val="24"/>
        </w:rPr>
      </w:pPr>
    </w:p>
    <w:p w14:paraId="5FA45D01" w14:textId="3F90E573" w:rsidR="00B337C1" w:rsidRPr="0092752C" w:rsidRDefault="00B337C1" w:rsidP="00B337C1">
      <w:pPr>
        <w:pStyle w:val="BodyText"/>
        <w:suppressLineNumbers/>
        <w:spacing w:line="240" w:lineRule="auto"/>
        <w:jc w:val="center"/>
      </w:pPr>
      <w:r w:rsidRPr="0092752C">
        <w:t xml:space="preserve">LIST OF </w:t>
      </w:r>
      <w:r>
        <w:t xml:space="preserve">CONFIDENTIAL </w:t>
      </w:r>
      <w:r w:rsidRPr="0092752C">
        <w:t>ATTACHMENTS</w:t>
      </w:r>
    </w:p>
    <w:p w14:paraId="7AB61E1D" w14:textId="77777777" w:rsidR="00B337C1" w:rsidRDefault="00B337C1" w:rsidP="001C0E53">
      <w:pPr>
        <w:pStyle w:val="BodyText"/>
        <w:suppressLineNumbers/>
        <w:tabs>
          <w:tab w:val="left" w:pos="2520"/>
        </w:tabs>
        <w:spacing w:line="240" w:lineRule="auto"/>
        <w:ind w:left="360"/>
        <w:rPr>
          <w:b w:val="0"/>
          <w:szCs w:val="24"/>
        </w:rPr>
      </w:pPr>
    </w:p>
    <w:p w14:paraId="2336F538" w14:textId="0125223C" w:rsidR="00B337C1" w:rsidRDefault="00B337C1" w:rsidP="001C0E53">
      <w:pPr>
        <w:pStyle w:val="BodyText"/>
        <w:suppressLineNumbers/>
        <w:tabs>
          <w:tab w:val="left" w:pos="2520"/>
        </w:tabs>
        <w:spacing w:line="240" w:lineRule="auto"/>
        <w:ind w:left="360"/>
        <w:rPr>
          <w:b w:val="0"/>
          <w:szCs w:val="24"/>
        </w:rPr>
      </w:pPr>
      <w:r>
        <w:rPr>
          <w:b w:val="0"/>
          <w:szCs w:val="24"/>
        </w:rPr>
        <w:t>JO-11</w:t>
      </w:r>
      <w:r>
        <w:rPr>
          <w:b w:val="0"/>
          <w:szCs w:val="24"/>
        </w:rPr>
        <w:tab/>
        <w:t xml:space="preserve">S&amp;P Global Market Intelligence, RRA Regulatory Focus, Major Rate </w:t>
      </w:r>
      <w:r>
        <w:rPr>
          <w:b w:val="0"/>
          <w:szCs w:val="24"/>
        </w:rPr>
        <w:tab/>
        <w:t>Case Decisions — January</w:t>
      </w:r>
      <w:r w:rsidR="008C32F3">
        <w:rPr>
          <w:b w:val="0"/>
          <w:szCs w:val="24"/>
        </w:rPr>
        <w:t xml:space="preserve"> - </w:t>
      </w:r>
      <w:r>
        <w:rPr>
          <w:b w:val="0"/>
          <w:szCs w:val="24"/>
        </w:rPr>
        <w:t>March 2019</w:t>
      </w:r>
    </w:p>
    <w:p w14:paraId="1D21B3A6" w14:textId="77777777" w:rsidR="001C0E53" w:rsidRDefault="001C0E53" w:rsidP="00737168">
      <w:pPr>
        <w:pStyle w:val="BodyText"/>
        <w:suppressLineNumbers/>
        <w:tabs>
          <w:tab w:val="left" w:pos="2520"/>
        </w:tabs>
        <w:spacing w:line="240" w:lineRule="auto"/>
        <w:ind w:left="360"/>
        <w:rPr>
          <w:b w:val="0"/>
          <w:szCs w:val="24"/>
        </w:rPr>
      </w:pPr>
    </w:p>
    <w:p w14:paraId="11C8C2DE" w14:textId="77777777" w:rsidR="00281CF9" w:rsidRPr="005A7BBF" w:rsidRDefault="00281CF9" w:rsidP="00737168">
      <w:pPr>
        <w:pStyle w:val="BodyText"/>
        <w:suppressLineNumbers/>
        <w:spacing w:line="360" w:lineRule="auto"/>
        <w:ind w:left="360"/>
        <w:jc w:val="center"/>
      </w:pPr>
    </w:p>
    <w:p w14:paraId="533495D6" w14:textId="4399124F" w:rsidR="00C2348D" w:rsidRPr="00281CF9" w:rsidRDefault="00281CF9" w:rsidP="001A60E8">
      <w:pPr>
        <w:suppressLineNumbers/>
        <w:spacing w:line="480" w:lineRule="auto"/>
        <w:rPr>
          <w:sz w:val="22"/>
          <w:szCs w:val="22"/>
        </w:rPr>
      </w:pPr>
      <w:r>
        <w:rPr>
          <w:b/>
          <w:sz w:val="22"/>
          <w:szCs w:val="22"/>
        </w:rPr>
        <w:br w:type="page"/>
      </w:r>
    </w:p>
    <w:p w14:paraId="5594048D" w14:textId="7D7347CE" w:rsidR="00C04218" w:rsidRPr="0092752C" w:rsidRDefault="00C04218" w:rsidP="001A60E8">
      <w:pPr>
        <w:pStyle w:val="Heading1"/>
        <w:numPr>
          <w:ilvl w:val="0"/>
          <w:numId w:val="1"/>
        </w:numPr>
        <w:tabs>
          <w:tab w:val="clear" w:pos="720"/>
          <w:tab w:val="num" w:pos="144"/>
        </w:tabs>
        <w:spacing w:line="480" w:lineRule="auto"/>
        <w:jc w:val="both"/>
        <w:rPr>
          <w:sz w:val="24"/>
        </w:rPr>
      </w:pPr>
      <w:bookmarkStart w:id="2" w:name="_Toc15351341"/>
      <w:bookmarkStart w:id="3" w:name="_Toc10117663"/>
      <w:r w:rsidRPr="0092752C">
        <w:rPr>
          <w:sz w:val="24"/>
        </w:rPr>
        <w:lastRenderedPageBreak/>
        <w:t>PROFESSIONAL QUALIFICATIONS</w:t>
      </w:r>
      <w:bookmarkEnd w:id="1"/>
      <w:bookmarkEnd w:id="2"/>
      <w:bookmarkEnd w:id="3"/>
    </w:p>
    <w:p w14:paraId="2A7F6CF7" w14:textId="77777777" w:rsidR="00F51548" w:rsidRPr="0092752C" w:rsidRDefault="00F51548" w:rsidP="001A60E8">
      <w:pPr>
        <w:pStyle w:val="BodyText3"/>
        <w:spacing w:line="480" w:lineRule="auto"/>
      </w:pPr>
      <w:r w:rsidRPr="0092752C">
        <w:t>Q.</w:t>
      </w:r>
      <w:r w:rsidRPr="0092752C">
        <w:tab/>
      </w:r>
      <w:r w:rsidR="001E0783" w:rsidRPr="0092752C">
        <w:t>Please state your name and business address</w:t>
      </w:r>
      <w:r w:rsidR="00FE4C78" w:rsidRPr="0092752C">
        <w:t>.</w:t>
      </w:r>
    </w:p>
    <w:p w14:paraId="3E7F13F8" w14:textId="6FDC2B0F" w:rsidR="006014E9" w:rsidRDefault="00F51548" w:rsidP="001A60E8">
      <w:pPr>
        <w:spacing w:line="480" w:lineRule="auto"/>
        <w:jc w:val="both"/>
        <w:rPr>
          <w:sz w:val="24"/>
        </w:rPr>
      </w:pPr>
      <w:r w:rsidRPr="0092752C">
        <w:rPr>
          <w:sz w:val="24"/>
        </w:rPr>
        <w:t>A.</w:t>
      </w:r>
      <w:r w:rsidRPr="0092752C">
        <w:rPr>
          <w:sz w:val="24"/>
        </w:rPr>
        <w:tab/>
      </w:r>
      <w:r w:rsidR="006014E9" w:rsidRPr="006014E9">
        <w:rPr>
          <w:sz w:val="24"/>
        </w:rPr>
        <w:t>My name is Jorge Ordonez.</w:t>
      </w:r>
      <w:r w:rsidR="000C7D0E">
        <w:rPr>
          <w:sz w:val="24"/>
        </w:rPr>
        <w:t xml:space="preserve"> </w:t>
      </w:r>
      <w:r w:rsidR="006014E9" w:rsidRPr="006014E9">
        <w:rPr>
          <w:sz w:val="24"/>
        </w:rPr>
        <w:t xml:space="preserve"> My business address is 1701 N. Congress Avenue, Austin, </w:t>
      </w:r>
      <w:r w:rsidR="000C7D0E">
        <w:rPr>
          <w:sz w:val="24"/>
        </w:rPr>
        <w:tab/>
      </w:r>
      <w:r w:rsidR="006014E9" w:rsidRPr="006014E9">
        <w:rPr>
          <w:sz w:val="24"/>
        </w:rPr>
        <w:t>TX 78711-3326.</w:t>
      </w:r>
    </w:p>
    <w:p w14:paraId="661DFB7F" w14:textId="2C2DF008" w:rsidR="00F51548" w:rsidRPr="0092752C" w:rsidRDefault="00F51548" w:rsidP="001A60E8">
      <w:pPr>
        <w:spacing w:line="480" w:lineRule="auto"/>
        <w:jc w:val="both"/>
      </w:pPr>
      <w:r w:rsidRPr="0092752C">
        <w:rPr>
          <w:b/>
          <w:sz w:val="24"/>
        </w:rPr>
        <w:t>Q.</w:t>
      </w:r>
      <w:r w:rsidRPr="0092752C">
        <w:rPr>
          <w:b/>
          <w:sz w:val="24"/>
        </w:rPr>
        <w:tab/>
      </w:r>
      <w:r w:rsidR="001E0783" w:rsidRPr="0092752C">
        <w:rPr>
          <w:b/>
          <w:sz w:val="24"/>
        </w:rPr>
        <w:t>By whom are you employed and in what capacity</w:t>
      </w:r>
      <w:r w:rsidRPr="0092752C">
        <w:rPr>
          <w:b/>
          <w:sz w:val="24"/>
        </w:rPr>
        <w:t>?</w:t>
      </w:r>
    </w:p>
    <w:p w14:paraId="27462150" w14:textId="7F3E81BC" w:rsidR="00F51548" w:rsidRPr="0092752C" w:rsidRDefault="00F51548" w:rsidP="001A60E8">
      <w:pPr>
        <w:pStyle w:val="Q"/>
        <w:keepNext w:val="0"/>
        <w:spacing w:before="0" w:line="480" w:lineRule="auto"/>
      </w:pPr>
      <w:r w:rsidRPr="0092752C">
        <w:t>A.</w:t>
      </w:r>
      <w:r w:rsidRPr="0092752C">
        <w:tab/>
      </w:r>
      <w:r w:rsidR="00075EED" w:rsidRPr="00075EED">
        <w:t>I am employed by the Public Utility Commission of Texas (Commission) as a Financial Analyst in the Rate Regulation Division.</w:t>
      </w:r>
    </w:p>
    <w:p w14:paraId="4878BC4D" w14:textId="77777777" w:rsidR="009B1750" w:rsidRPr="0092752C" w:rsidRDefault="00F51548" w:rsidP="001A60E8">
      <w:pPr>
        <w:spacing w:line="480" w:lineRule="auto"/>
        <w:jc w:val="both"/>
        <w:rPr>
          <w:b/>
          <w:sz w:val="24"/>
        </w:rPr>
      </w:pPr>
      <w:r w:rsidRPr="0092752C">
        <w:rPr>
          <w:b/>
          <w:sz w:val="24"/>
        </w:rPr>
        <w:t>Q.</w:t>
      </w:r>
      <w:r w:rsidRPr="0092752C">
        <w:rPr>
          <w:b/>
          <w:sz w:val="24"/>
        </w:rPr>
        <w:tab/>
      </w:r>
      <w:r w:rsidR="00D608C2" w:rsidRPr="0092752C">
        <w:rPr>
          <w:b/>
          <w:sz w:val="24"/>
        </w:rPr>
        <w:t>What are your principal responsibilities</w:t>
      </w:r>
      <w:r w:rsidR="00BF4ECC" w:rsidRPr="0092752C">
        <w:rPr>
          <w:b/>
          <w:sz w:val="24"/>
        </w:rPr>
        <w:t xml:space="preserve"> </w:t>
      </w:r>
      <w:r w:rsidR="00971557" w:rsidRPr="0092752C">
        <w:rPr>
          <w:b/>
          <w:sz w:val="24"/>
        </w:rPr>
        <w:t>at the Commission</w:t>
      </w:r>
      <w:r w:rsidR="00CB58A1" w:rsidRPr="0092752C">
        <w:rPr>
          <w:b/>
          <w:sz w:val="24"/>
        </w:rPr>
        <w:t>?</w:t>
      </w:r>
    </w:p>
    <w:p w14:paraId="5ADC9F53" w14:textId="2917FD2C" w:rsidR="003336FE" w:rsidRPr="0092752C" w:rsidRDefault="0030621B" w:rsidP="001A60E8">
      <w:pPr>
        <w:pStyle w:val="A"/>
        <w:spacing w:line="480" w:lineRule="auto"/>
      </w:pPr>
      <w:r w:rsidRPr="0092752C">
        <w:t>A.</w:t>
      </w:r>
      <w:r w:rsidRPr="0092752C">
        <w:tab/>
      </w:r>
      <w:r w:rsidR="00F54FFA" w:rsidRPr="00F54FFA">
        <w:t>I perform financial and economic analyses of utilities under the jurisdiction of the Commission.</w:t>
      </w:r>
      <w:r w:rsidR="000C7D0E">
        <w:t xml:space="preserve"> </w:t>
      </w:r>
      <w:r w:rsidR="00F54FFA" w:rsidRPr="00F54FFA">
        <w:t xml:space="preserve"> My duties include determining compliance with Commission requirements</w:t>
      </w:r>
      <w:r w:rsidR="0021195A">
        <w:t>.</w:t>
      </w:r>
      <w:r w:rsidR="004F488C">
        <w:t xml:space="preserve"> </w:t>
      </w:r>
      <w:r w:rsidR="0021195A">
        <w:t xml:space="preserve"> I p</w:t>
      </w:r>
      <w:r w:rsidR="00F54FFA" w:rsidRPr="00F54FFA">
        <w:t>repar</w:t>
      </w:r>
      <w:r w:rsidR="0021195A">
        <w:t>e</w:t>
      </w:r>
      <w:r w:rsidR="00F54FFA" w:rsidRPr="00F54FFA">
        <w:t xml:space="preserve"> and present testimony as an expert witness on issues related to </w:t>
      </w:r>
      <w:r w:rsidR="002739F3">
        <w:t xml:space="preserve">rate of return, </w:t>
      </w:r>
      <w:r w:rsidR="00F54FFA" w:rsidRPr="00F54FFA">
        <w:t>rates, pricing, tariff provisions, cost allocation, and rate design in docketed proceedings before the Commission and the State Office of Administrative Hearings (SOAH).</w:t>
      </w:r>
    </w:p>
    <w:p w14:paraId="5CD92CAF" w14:textId="09038945" w:rsidR="00F51548" w:rsidRPr="0092752C" w:rsidRDefault="00F51548" w:rsidP="001A60E8">
      <w:pPr>
        <w:pStyle w:val="Q"/>
        <w:spacing w:before="0" w:line="480" w:lineRule="auto"/>
        <w:rPr>
          <w:b/>
        </w:rPr>
      </w:pPr>
      <w:r w:rsidRPr="0092752C">
        <w:rPr>
          <w:b/>
        </w:rPr>
        <w:t>Q.</w:t>
      </w:r>
      <w:r w:rsidRPr="0092752C">
        <w:rPr>
          <w:b/>
        </w:rPr>
        <w:tab/>
      </w:r>
      <w:r w:rsidR="00D608C2" w:rsidRPr="0092752C">
        <w:rPr>
          <w:b/>
        </w:rPr>
        <w:t xml:space="preserve">Please </w:t>
      </w:r>
      <w:r w:rsidR="005D0D7E">
        <w:rPr>
          <w:b/>
        </w:rPr>
        <w:t>describe</w:t>
      </w:r>
      <w:r w:rsidR="00D608C2" w:rsidRPr="0092752C">
        <w:rPr>
          <w:b/>
        </w:rPr>
        <w:t xml:space="preserve"> your educational background and professional experience</w:t>
      </w:r>
      <w:r w:rsidR="00FE4C78" w:rsidRPr="0092752C">
        <w:rPr>
          <w:b/>
        </w:rPr>
        <w:t>.</w:t>
      </w:r>
    </w:p>
    <w:p w14:paraId="1294273E" w14:textId="65D9E123" w:rsidR="007D292B" w:rsidRDefault="00F51548" w:rsidP="001A60E8">
      <w:pPr>
        <w:pStyle w:val="A"/>
        <w:spacing w:after="0" w:line="480" w:lineRule="auto"/>
      </w:pPr>
      <w:r w:rsidRPr="0092752C">
        <w:t>A.</w:t>
      </w:r>
      <w:r w:rsidRPr="0092752C">
        <w:tab/>
      </w:r>
      <w:r w:rsidR="00805B70" w:rsidRPr="00805B70">
        <w:t>In 1998, I graduated from San Antonio Abad University in Peru with a Bachelor of Science in Mechanical Engineering.  In 2005, as a Fulbright Scholar, I graduated with a Master in Business Administration, with a concentration in Finance, from Willamette University in Salem, Oregon.  My professional experience includes 18 years working within the energy industry, energy regulation, and academia.</w:t>
      </w:r>
      <w:r w:rsidR="008D30F7">
        <w:t xml:space="preserve"> </w:t>
      </w:r>
      <w:r w:rsidR="000C7D0E">
        <w:t xml:space="preserve"> </w:t>
      </w:r>
      <w:r w:rsidR="00805B70" w:rsidRPr="00805B70">
        <w:t>From 1999 to 2008, I worked for a power generation company in Peru in various roles such as Shift Operations Engineer, Manager of Economic Planning, and Vice-President of Power Operations and Marketing.</w:t>
      </w:r>
      <w:r w:rsidR="000C7D0E">
        <w:t xml:space="preserve"> </w:t>
      </w:r>
      <w:r w:rsidR="00805B70" w:rsidRPr="00805B70">
        <w:t xml:space="preserve"> From 2009 to 2016, I worked as a Senior Financial Economist for the Public Utility Commission of Oregon.</w:t>
      </w:r>
      <w:r w:rsidR="008D30F7">
        <w:t xml:space="preserve"> </w:t>
      </w:r>
      <w:r w:rsidR="00805B70" w:rsidRPr="00805B70">
        <w:t xml:space="preserve"> From 2017 to 2018, I taught </w:t>
      </w:r>
      <w:r w:rsidR="00805B70" w:rsidRPr="002739F3">
        <w:rPr>
          <w:i/>
        </w:rPr>
        <w:t>Accounting for Decision Makers</w:t>
      </w:r>
      <w:r w:rsidR="00805B70" w:rsidRPr="00805B70">
        <w:t xml:space="preserve"> and </w:t>
      </w:r>
      <w:r w:rsidR="00805B70" w:rsidRPr="002739F3">
        <w:rPr>
          <w:i/>
        </w:rPr>
        <w:t>Introduction to Finance</w:t>
      </w:r>
      <w:r w:rsidR="00805B70" w:rsidRPr="00805B70">
        <w:t xml:space="preserve"> to undergraduate students of business administration as a professor at the Sichuan International Studies University in Chongqing, China.</w:t>
      </w:r>
      <w:r w:rsidR="008D30F7">
        <w:t xml:space="preserve"> </w:t>
      </w:r>
      <w:r w:rsidR="00805B70" w:rsidRPr="00805B70">
        <w:t xml:space="preserve"> I have been employed at the Commission since August 2018.</w:t>
      </w:r>
    </w:p>
    <w:p w14:paraId="58B23E0E" w14:textId="77777777" w:rsidR="00C33567" w:rsidRPr="006A5F0F" w:rsidRDefault="00C33567" w:rsidP="001A60E8">
      <w:pPr>
        <w:pStyle w:val="A"/>
        <w:spacing w:after="0" w:line="480" w:lineRule="auto"/>
        <w:rPr>
          <w:b/>
          <w:szCs w:val="24"/>
        </w:rPr>
      </w:pPr>
      <w:r w:rsidRPr="0092752C">
        <w:rPr>
          <w:b/>
        </w:rPr>
        <w:t>Q.</w:t>
      </w:r>
      <w:r w:rsidRPr="0092752C">
        <w:rPr>
          <w:b/>
        </w:rPr>
        <w:tab/>
      </w:r>
      <w:r w:rsidRPr="006A5F0F">
        <w:rPr>
          <w:b/>
          <w:szCs w:val="24"/>
        </w:rPr>
        <w:t>Have you previously testified before the Commission or SOAH?</w:t>
      </w:r>
    </w:p>
    <w:p w14:paraId="7EDC10F3" w14:textId="43F042AA" w:rsidR="00207F66" w:rsidRPr="006A5F0F" w:rsidRDefault="00C33567" w:rsidP="001A60E8">
      <w:pPr>
        <w:pStyle w:val="A"/>
        <w:spacing w:line="480" w:lineRule="auto"/>
        <w:rPr>
          <w:szCs w:val="24"/>
        </w:rPr>
      </w:pPr>
      <w:r w:rsidRPr="006A5F0F">
        <w:rPr>
          <w:szCs w:val="24"/>
        </w:rPr>
        <w:t>A.</w:t>
      </w:r>
      <w:r w:rsidRPr="006A5F0F">
        <w:rPr>
          <w:szCs w:val="24"/>
        </w:rPr>
        <w:tab/>
      </w:r>
      <w:r w:rsidR="00805B70" w:rsidRPr="00805B70">
        <w:rPr>
          <w:szCs w:val="24"/>
        </w:rPr>
        <w:t xml:space="preserve">Yes.  Attachment </w:t>
      </w:r>
      <w:r w:rsidR="00805B70">
        <w:rPr>
          <w:szCs w:val="24"/>
        </w:rPr>
        <w:t>JO</w:t>
      </w:r>
      <w:r w:rsidR="00805B70" w:rsidRPr="00805B70">
        <w:rPr>
          <w:szCs w:val="24"/>
        </w:rPr>
        <w:t xml:space="preserve">-10 </w:t>
      </w:r>
      <w:r w:rsidR="00805B70">
        <w:rPr>
          <w:szCs w:val="24"/>
        </w:rPr>
        <w:t xml:space="preserve">contains a list of testimony and memoranda, in lieu of testimony, that I have filed </w:t>
      </w:r>
      <w:r w:rsidR="005D0D7E">
        <w:rPr>
          <w:szCs w:val="24"/>
        </w:rPr>
        <w:t>with</w:t>
      </w:r>
      <w:r w:rsidR="00805B70" w:rsidRPr="00805B70">
        <w:rPr>
          <w:szCs w:val="24"/>
        </w:rPr>
        <w:t xml:space="preserve"> the Commission.  </w:t>
      </w:r>
    </w:p>
    <w:p w14:paraId="2B741194" w14:textId="7C6DCB31" w:rsidR="00C04218" w:rsidRPr="006A5F0F" w:rsidRDefault="004C2D8D" w:rsidP="001A60E8">
      <w:pPr>
        <w:pStyle w:val="Heading1"/>
        <w:numPr>
          <w:ilvl w:val="0"/>
          <w:numId w:val="1"/>
        </w:numPr>
        <w:tabs>
          <w:tab w:val="clear" w:pos="720"/>
          <w:tab w:val="num" w:pos="432"/>
        </w:tabs>
        <w:spacing w:line="480" w:lineRule="auto"/>
        <w:jc w:val="both"/>
        <w:rPr>
          <w:sz w:val="24"/>
          <w:szCs w:val="24"/>
        </w:rPr>
      </w:pPr>
      <w:bookmarkStart w:id="4" w:name="_Ref495998820"/>
      <w:bookmarkStart w:id="5" w:name="_Toc15351342"/>
      <w:bookmarkStart w:id="6" w:name="_Toc10117664"/>
      <w:r w:rsidRPr="006A5F0F">
        <w:rPr>
          <w:sz w:val="24"/>
          <w:szCs w:val="24"/>
        </w:rPr>
        <w:t xml:space="preserve">PURPOSE AND </w:t>
      </w:r>
      <w:r w:rsidR="00C04218" w:rsidRPr="006A5F0F">
        <w:rPr>
          <w:sz w:val="24"/>
          <w:szCs w:val="24"/>
        </w:rPr>
        <w:t>SCOPE OF TESTIMONY</w:t>
      </w:r>
      <w:bookmarkEnd w:id="4"/>
      <w:bookmarkEnd w:id="5"/>
      <w:bookmarkEnd w:id="6"/>
    </w:p>
    <w:p w14:paraId="1ED32E63" w14:textId="1D3D680C" w:rsidR="00C04218" w:rsidRPr="006A5F0F" w:rsidRDefault="00F13CA6" w:rsidP="001A60E8">
      <w:pPr>
        <w:pStyle w:val="BodyTextIndent2"/>
        <w:jc w:val="both"/>
        <w:rPr>
          <w:b/>
          <w:szCs w:val="24"/>
        </w:rPr>
      </w:pPr>
      <w:r w:rsidRPr="006A5F0F">
        <w:rPr>
          <w:b/>
          <w:szCs w:val="24"/>
        </w:rPr>
        <w:t>Q.</w:t>
      </w:r>
      <w:r w:rsidRPr="006A5F0F">
        <w:rPr>
          <w:b/>
          <w:szCs w:val="24"/>
        </w:rPr>
        <w:tab/>
      </w:r>
      <w:r w:rsidR="007F1A2E" w:rsidRPr="007F1A2E">
        <w:rPr>
          <w:b/>
          <w:szCs w:val="24"/>
        </w:rPr>
        <w:t>What is the purpose of your testimony in this proceeding?</w:t>
      </w:r>
    </w:p>
    <w:p w14:paraId="4D74822A" w14:textId="2D3EFFA5" w:rsidR="009E0C9B" w:rsidRDefault="00F13CA6" w:rsidP="001A60E8">
      <w:pPr>
        <w:pStyle w:val="BodyTextIndent2"/>
        <w:jc w:val="both"/>
        <w:rPr>
          <w:szCs w:val="24"/>
        </w:rPr>
      </w:pPr>
      <w:r w:rsidRPr="006A5F0F">
        <w:rPr>
          <w:szCs w:val="24"/>
        </w:rPr>
        <w:t>A.</w:t>
      </w:r>
      <w:r w:rsidRPr="006A5F0F">
        <w:rPr>
          <w:szCs w:val="24"/>
        </w:rPr>
        <w:tab/>
      </w:r>
      <w:r w:rsidR="00A744B9" w:rsidRPr="00A744B9">
        <w:rPr>
          <w:szCs w:val="24"/>
        </w:rPr>
        <w:t xml:space="preserve">The purpose of my testimony </w:t>
      </w:r>
      <w:r w:rsidR="00F21F82">
        <w:rPr>
          <w:szCs w:val="24"/>
        </w:rPr>
        <w:t xml:space="preserve">in this proceeding </w:t>
      </w:r>
      <w:r w:rsidR="00A744B9" w:rsidRPr="00A744B9">
        <w:rPr>
          <w:szCs w:val="24"/>
        </w:rPr>
        <w:t xml:space="preserve">is </w:t>
      </w:r>
      <w:r w:rsidR="00B21A7F">
        <w:rPr>
          <w:szCs w:val="24"/>
        </w:rPr>
        <w:t>twofold:</w:t>
      </w:r>
      <w:r w:rsidR="00A611B8">
        <w:rPr>
          <w:szCs w:val="24"/>
        </w:rPr>
        <w:t xml:space="preserve"> </w:t>
      </w:r>
      <w:r w:rsidR="00B21A7F">
        <w:rPr>
          <w:szCs w:val="24"/>
        </w:rPr>
        <w:t xml:space="preserve"> </w:t>
      </w:r>
      <w:r w:rsidR="00B21A7F" w:rsidRPr="00B21A7F">
        <w:rPr>
          <w:szCs w:val="24"/>
        </w:rPr>
        <w:t xml:space="preserve">(1) </w:t>
      </w:r>
      <w:r w:rsidR="00B161C2" w:rsidRPr="00A744B9">
        <w:rPr>
          <w:szCs w:val="24"/>
        </w:rPr>
        <w:t xml:space="preserve">to </w:t>
      </w:r>
      <w:r w:rsidR="00B161C2">
        <w:rPr>
          <w:szCs w:val="24"/>
        </w:rPr>
        <w:t>recommend</w:t>
      </w:r>
      <w:r w:rsidR="00B161C2" w:rsidRPr="00A744B9">
        <w:rPr>
          <w:szCs w:val="24"/>
        </w:rPr>
        <w:t xml:space="preserve"> a fair rate of return on invested capital for </w:t>
      </w:r>
      <w:r w:rsidR="00B161C2" w:rsidRPr="00B21A7F">
        <w:rPr>
          <w:szCs w:val="24"/>
        </w:rPr>
        <w:t>CenterPoint Energy Houston Electric, LLC (“CEHE” or “the Company”)</w:t>
      </w:r>
      <w:r w:rsidR="00B161C2">
        <w:rPr>
          <w:szCs w:val="24"/>
        </w:rPr>
        <w:t xml:space="preserve">, </w:t>
      </w:r>
      <w:r w:rsidR="00CF7F44">
        <w:rPr>
          <w:szCs w:val="24"/>
        </w:rPr>
        <w:t>and</w:t>
      </w:r>
      <w:r w:rsidR="009D4767">
        <w:rPr>
          <w:szCs w:val="24"/>
        </w:rPr>
        <w:t xml:space="preserve"> </w:t>
      </w:r>
      <w:r w:rsidR="00B161C2">
        <w:rPr>
          <w:szCs w:val="24"/>
        </w:rPr>
        <w:t xml:space="preserve">(2) </w:t>
      </w:r>
      <w:r w:rsidR="00B21A7F" w:rsidRPr="00B21A7F">
        <w:rPr>
          <w:szCs w:val="24"/>
        </w:rPr>
        <w:t xml:space="preserve">to recommend the </w:t>
      </w:r>
      <w:r w:rsidR="00E60A31">
        <w:rPr>
          <w:szCs w:val="24"/>
        </w:rPr>
        <w:t xml:space="preserve">addition of </w:t>
      </w:r>
      <w:r w:rsidR="00B21A7F" w:rsidRPr="00B21A7F">
        <w:rPr>
          <w:szCs w:val="24"/>
        </w:rPr>
        <w:t xml:space="preserve">carrying costs </w:t>
      </w:r>
      <w:r w:rsidR="00AE6C67">
        <w:rPr>
          <w:szCs w:val="24"/>
        </w:rPr>
        <w:t>to</w:t>
      </w:r>
      <w:r w:rsidR="00B21A7F" w:rsidRPr="00B21A7F">
        <w:rPr>
          <w:szCs w:val="24"/>
        </w:rPr>
        <w:t xml:space="preserve"> the </w:t>
      </w:r>
      <w:r w:rsidR="00B161C2">
        <w:rPr>
          <w:szCs w:val="24"/>
        </w:rPr>
        <w:t xml:space="preserve">system </w:t>
      </w:r>
      <w:r w:rsidR="00B21A7F" w:rsidRPr="00B21A7F">
        <w:rPr>
          <w:szCs w:val="24"/>
        </w:rPr>
        <w:t xml:space="preserve">restoration costs associated with Hurricane Harvey (Hurricane Harvey </w:t>
      </w:r>
      <w:r w:rsidR="00695C48">
        <w:rPr>
          <w:szCs w:val="24"/>
        </w:rPr>
        <w:t>c</w:t>
      </w:r>
      <w:r w:rsidR="00B21A7F" w:rsidRPr="00B21A7F">
        <w:rPr>
          <w:szCs w:val="24"/>
        </w:rPr>
        <w:t xml:space="preserve">arrying </w:t>
      </w:r>
      <w:r w:rsidR="00695C48">
        <w:rPr>
          <w:szCs w:val="24"/>
        </w:rPr>
        <w:t>c</w:t>
      </w:r>
      <w:r w:rsidR="00D32DB0">
        <w:rPr>
          <w:szCs w:val="24"/>
        </w:rPr>
        <w:t>osts</w:t>
      </w:r>
      <w:r w:rsidR="00B21A7F" w:rsidRPr="00B21A7F">
        <w:rPr>
          <w:szCs w:val="24"/>
        </w:rPr>
        <w:t>)</w:t>
      </w:r>
      <w:r w:rsidR="00B161C2">
        <w:rPr>
          <w:szCs w:val="24"/>
        </w:rPr>
        <w:t>.</w:t>
      </w:r>
      <w:r w:rsidR="00CB5DAF">
        <w:rPr>
          <w:szCs w:val="24"/>
        </w:rPr>
        <w:t xml:space="preserve">  </w:t>
      </w:r>
    </w:p>
    <w:p w14:paraId="56896E59" w14:textId="73A58432" w:rsidR="00CB6CD3" w:rsidRDefault="009E0C9B" w:rsidP="001A60E8">
      <w:pPr>
        <w:pStyle w:val="BodyTextIndent2"/>
        <w:jc w:val="both"/>
        <w:rPr>
          <w:szCs w:val="24"/>
        </w:rPr>
      </w:pPr>
      <w:r>
        <w:rPr>
          <w:szCs w:val="24"/>
        </w:rPr>
        <w:tab/>
      </w:r>
      <w:r w:rsidR="002601F8">
        <w:rPr>
          <w:szCs w:val="24"/>
        </w:rPr>
        <w:tab/>
      </w:r>
      <w:r w:rsidR="00F102F9">
        <w:rPr>
          <w:szCs w:val="24"/>
        </w:rPr>
        <w:t>My r</w:t>
      </w:r>
      <w:r w:rsidR="00CB5DAF">
        <w:rPr>
          <w:szCs w:val="24"/>
        </w:rPr>
        <w:t>e</w:t>
      </w:r>
      <w:r w:rsidR="00F102F9">
        <w:rPr>
          <w:szCs w:val="24"/>
        </w:rPr>
        <w:t>c</w:t>
      </w:r>
      <w:r w:rsidR="007C1245">
        <w:rPr>
          <w:szCs w:val="24"/>
        </w:rPr>
        <w:t>o</w:t>
      </w:r>
      <w:r w:rsidR="00F102F9">
        <w:rPr>
          <w:szCs w:val="24"/>
        </w:rPr>
        <w:t xml:space="preserve">mmendation </w:t>
      </w:r>
      <w:r w:rsidR="0017658C" w:rsidRPr="0017658C">
        <w:rPr>
          <w:szCs w:val="24"/>
        </w:rPr>
        <w:t xml:space="preserve">for CEHE’s fair rate of return on investment capital </w:t>
      </w:r>
      <w:r w:rsidR="00F102F9">
        <w:rPr>
          <w:szCs w:val="24"/>
        </w:rPr>
        <w:t xml:space="preserve">is </w:t>
      </w:r>
      <w:r w:rsidR="00C30226">
        <w:rPr>
          <w:szCs w:val="24"/>
        </w:rPr>
        <w:t xml:space="preserve">based on </w:t>
      </w:r>
      <w:r w:rsidR="00CB5DAF">
        <w:rPr>
          <w:szCs w:val="24"/>
        </w:rPr>
        <w:t>an estimat</w:t>
      </w:r>
      <w:r w:rsidR="001C5B2B">
        <w:rPr>
          <w:szCs w:val="24"/>
        </w:rPr>
        <w:t>e</w:t>
      </w:r>
      <w:r w:rsidR="00CB5DAF">
        <w:rPr>
          <w:szCs w:val="24"/>
        </w:rPr>
        <w:t xml:space="preserve"> of the </w:t>
      </w:r>
      <w:r w:rsidR="00A744B9" w:rsidRPr="00A744B9">
        <w:rPr>
          <w:szCs w:val="24"/>
        </w:rPr>
        <w:t>cost of equi</w:t>
      </w:r>
      <w:r w:rsidR="00F102F9">
        <w:rPr>
          <w:szCs w:val="24"/>
        </w:rPr>
        <w:t xml:space="preserve">ty and an assessment of </w:t>
      </w:r>
      <w:r w:rsidR="007A3227">
        <w:rPr>
          <w:szCs w:val="24"/>
        </w:rPr>
        <w:t xml:space="preserve">the </w:t>
      </w:r>
      <w:r w:rsidR="00F102F9">
        <w:rPr>
          <w:szCs w:val="24"/>
        </w:rPr>
        <w:t>Company</w:t>
      </w:r>
      <w:r w:rsidR="00C30226">
        <w:rPr>
          <w:szCs w:val="24"/>
        </w:rPr>
        <w:t>-</w:t>
      </w:r>
      <w:r w:rsidR="00F102F9">
        <w:rPr>
          <w:szCs w:val="24"/>
        </w:rPr>
        <w:t xml:space="preserve">proposed </w:t>
      </w:r>
      <w:r w:rsidR="00A744B9" w:rsidRPr="00A744B9">
        <w:rPr>
          <w:szCs w:val="24"/>
        </w:rPr>
        <w:t>cost of debt</w:t>
      </w:r>
      <w:r w:rsidR="00F102F9">
        <w:rPr>
          <w:szCs w:val="24"/>
        </w:rPr>
        <w:t xml:space="preserve"> and capital structure.  </w:t>
      </w:r>
      <w:r w:rsidR="007C1245">
        <w:rPr>
          <w:szCs w:val="24"/>
        </w:rPr>
        <w:t>I</w:t>
      </w:r>
      <w:r w:rsidR="00542D46">
        <w:rPr>
          <w:szCs w:val="24"/>
        </w:rPr>
        <w:t xml:space="preserve"> </w:t>
      </w:r>
      <w:r w:rsidR="009A3A36" w:rsidRPr="009A3A36">
        <w:rPr>
          <w:szCs w:val="24"/>
        </w:rPr>
        <w:t xml:space="preserve">use my recommended cost of equity, cost of debt, and capital structure </w:t>
      </w:r>
      <w:r w:rsidR="00CB5DAF">
        <w:rPr>
          <w:szCs w:val="24"/>
        </w:rPr>
        <w:t xml:space="preserve">to </w:t>
      </w:r>
      <w:r w:rsidR="00F102F9">
        <w:rPr>
          <w:szCs w:val="24"/>
        </w:rPr>
        <w:t xml:space="preserve">calculate </w:t>
      </w:r>
      <w:r w:rsidR="002F204A">
        <w:rPr>
          <w:szCs w:val="24"/>
        </w:rPr>
        <w:t>my recommended return on invested capital</w:t>
      </w:r>
      <w:r w:rsidR="007A08A5">
        <w:rPr>
          <w:szCs w:val="24"/>
        </w:rPr>
        <w:t xml:space="preserve"> for the Company</w:t>
      </w:r>
      <w:r w:rsidR="00A744B9" w:rsidRPr="00A744B9">
        <w:rPr>
          <w:szCs w:val="24"/>
        </w:rPr>
        <w:t>.</w:t>
      </w:r>
    </w:p>
    <w:p w14:paraId="263D72A4" w14:textId="421D613C" w:rsidR="001A04CC" w:rsidRPr="006A5F0F" w:rsidRDefault="001A04CC" w:rsidP="001A60E8">
      <w:pPr>
        <w:pStyle w:val="BodyTextIndent2"/>
        <w:jc w:val="both"/>
        <w:rPr>
          <w:b/>
          <w:szCs w:val="24"/>
        </w:rPr>
      </w:pPr>
      <w:r w:rsidRPr="006A5F0F">
        <w:rPr>
          <w:b/>
          <w:szCs w:val="24"/>
        </w:rPr>
        <w:t>Q.</w:t>
      </w:r>
      <w:r w:rsidRPr="006A5F0F">
        <w:rPr>
          <w:b/>
          <w:szCs w:val="24"/>
        </w:rPr>
        <w:tab/>
      </w:r>
      <w:r>
        <w:rPr>
          <w:b/>
          <w:szCs w:val="24"/>
        </w:rPr>
        <w:t xml:space="preserve">What </w:t>
      </w:r>
      <w:r w:rsidRPr="00D23415">
        <w:rPr>
          <w:rFonts w:ascii="Times" w:hAnsi="Times"/>
          <w:b/>
        </w:rPr>
        <w:t>is</w:t>
      </w:r>
      <w:r>
        <w:rPr>
          <w:rFonts w:ascii="Times" w:hAnsi="Times"/>
          <w:b/>
        </w:rPr>
        <w:t>sues identified in the Preliminary Order does your testimony address</w:t>
      </w:r>
      <w:r w:rsidRPr="00D23415">
        <w:rPr>
          <w:rFonts w:ascii="Times" w:hAnsi="Times"/>
          <w:b/>
        </w:rPr>
        <w:t>?</w:t>
      </w:r>
      <w:r w:rsidRPr="006A5F0F">
        <w:rPr>
          <w:b/>
          <w:szCs w:val="24"/>
        </w:rPr>
        <w:t xml:space="preserve"> </w:t>
      </w:r>
    </w:p>
    <w:p w14:paraId="3E3C058D" w14:textId="18F8FCA4" w:rsidR="001A04CC" w:rsidRDefault="001A04CC" w:rsidP="001A60E8">
      <w:pPr>
        <w:pStyle w:val="BodyTextIndent2"/>
        <w:jc w:val="both"/>
        <w:rPr>
          <w:rFonts w:ascii="Times" w:hAnsi="Times"/>
          <w:i/>
        </w:rPr>
      </w:pPr>
      <w:r w:rsidRPr="006A5F0F">
        <w:rPr>
          <w:szCs w:val="24"/>
        </w:rPr>
        <w:t>A.</w:t>
      </w:r>
      <w:r w:rsidRPr="006A5F0F">
        <w:rPr>
          <w:szCs w:val="24"/>
        </w:rPr>
        <w:tab/>
      </w:r>
      <w:r>
        <w:rPr>
          <w:szCs w:val="24"/>
        </w:rPr>
        <w:t xml:space="preserve">My testimony addresses the following issues </w:t>
      </w:r>
      <w:r w:rsidR="007A08A5">
        <w:rPr>
          <w:szCs w:val="24"/>
        </w:rPr>
        <w:t xml:space="preserve">from </w:t>
      </w:r>
      <w:r w:rsidRPr="00D23415">
        <w:rPr>
          <w:rFonts w:ascii="Times" w:hAnsi="Times"/>
        </w:rPr>
        <w:t xml:space="preserve">the </w:t>
      </w:r>
      <w:r>
        <w:rPr>
          <w:rFonts w:ascii="Times" w:hAnsi="Times"/>
        </w:rPr>
        <w:t xml:space="preserve">Commission’s </w:t>
      </w:r>
      <w:r w:rsidRPr="00D23415">
        <w:rPr>
          <w:rFonts w:ascii="Times" w:hAnsi="Times"/>
        </w:rPr>
        <w:t>Preliminary Order</w:t>
      </w:r>
      <w:r w:rsidR="007A08A5">
        <w:rPr>
          <w:rFonts w:ascii="Times" w:hAnsi="Times"/>
        </w:rPr>
        <w:t xml:space="preserve"> in this proceeding </w:t>
      </w:r>
      <w:r>
        <w:rPr>
          <w:rFonts w:ascii="Times" w:hAnsi="Times"/>
        </w:rPr>
        <w:t>filed</w:t>
      </w:r>
      <w:r w:rsidR="007A08A5">
        <w:rPr>
          <w:rFonts w:ascii="Times" w:hAnsi="Times"/>
        </w:rPr>
        <w:t xml:space="preserve"> on May</w:t>
      </w:r>
      <w:r w:rsidR="0006612B">
        <w:rPr>
          <w:rFonts w:ascii="Times" w:hAnsi="Times"/>
        </w:rPr>
        <w:t xml:space="preserve"> 9, 2019</w:t>
      </w:r>
      <w:r w:rsidR="007A3227">
        <w:rPr>
          <w:rFonts w:ascii="Times" w:hAnsi="Times"/>
        </w:rPr>
        <w:t>:</w:t>
      </w:r>
    </w:p>
    <w:p w14:paraId="0DE379D8" w14:textId="38E3873A" w:rsidR="003A5735" w:rsidRPr="00B515B4" w:rsidRDefault="007A3227" w:rsidP="00BB511E">
      <w:pPr>
        <w:pStyle w:val="BodyTextIndent2"/>
        <w:numPr>
          <w:ilvl w:val="0"/>
          <w:numId w:val="22"/>
        </w:numPr>
        <w:tabs>
          <w:tab w:val="left" w:pos="1800"/>
        </w:tabs>
        <w:jc w:val="both"/>
        <w:rPr>
          <w:szCs w:val="24"/>
        </w:rPr>
      </w:pPr>
      <w:r>
        <w:rPr>
          <w:szCs w:val="24"/>
        </w:rPr>
        <w:t>Issue No</w:t>
      </w:r>
      <w:r w:rsidR="00BB511E">
        <w:rPr>
          <w:szCs w:val="24"/>
        </w:rPr>
        <w:t>.</w:t>
      </w:r>
      <w:r>
        <w:rPr>
          <w:szCs w:val="24"/>
        </w:rPr>
        <w:t xml:space="preserve"> </w:t>
      </w:r>
      <w:r w:rsidR="00641024">
        <w:rPr>
          <w:szCs w:val="24"/>
        </w:rPr>
        <w:t>7</w:t>
      </w:r>
      <w:r>
        <w:rPr>
          <w:szCs w:val="24"/>
        </w:rPr>
        <w:t>:</w:t>
      </w:r>
      <w:r w:rsidR="00EA367E">
        <w:rPr>
          <w:szCs w:val="24"/>
        </w:rPr>
        <w:t xml:space="preserve"> </w:t>
      </w:r>
      <w:r>
        <w:rPr>
          <w:szCs w:val="24"/>
        </w:rPr>
        <w:t xml:space="preserve"> </w:t>
      </w:r>
      <w:r w:rsidR="003A5735" w:rsidRPr="007A3227">
        <w:rPr>
          <w:szCs w:val="24"/>
        </w:rPr>
        <w:t xml:space="preserve">What is the appropriate debt-to-equity capital structure for </w:t>
      </w:r>
      <w:r w:rsidR="005724EF" w:rsidRPr="007A3227">
        <w:rPr>
          <w:szCs w:val="24"/>
        </w:rPr>
        <w:t>C</w:t>
      </w:r>
      <w:r w:rsidR="00B515B4" w:rsidRPr="007A3227">
        <w:rPr>
          <w:szCs w:val="24"/>
        </w:rPr>
        <w:t>enterPoint</w:t>
      </w:r>
      <w:proofErr w:type="gramStart"/>
      <w:r w:rsidR="003A5735" w:rsidRPr="007A3227">
        <w:rPr>
          <w:szCs w:val="24"/>
        </w:rPr>
        <w:t>?</w:t>
      </w:r>
      <w:r w:rsidR="00EA367E">
        <w:rPr>
          <w:szCs w:val="24"/>
        </w:rPr>
        <w:t>;</w:t>
      </w:r>
      <w:proofErr w:type="gramEnd"/>
    </w:p>
    <w:p w14:paraId="2A69D8AE" w14:textId="4184793C" w:rsidR="003A5735" w:rsidRDefault="007A3227" w:rsidP="00A928DE">
      <w:pPr>
        <w:pStyle w:val="BodyTextIndent2"/>
        <w:numPr>
          <w:ilvl w:val="0"/>
          <w:numId w:val="22"/>
        </w:numPr>
        <w:jc w:val="both"/>
        <w:rPr>
          <w:szCs w:val="24"/>
        </w:rPr>
      </w:pPr>
      <w:r>
        <w:rPr>
          <w:szCs w:val="24"/>
        </w:rPr>
        <w:t xml:space="preserve">Issue No. </w:t>
      </w:r>
      <w:r w:rsidR="00641024" w:rsidRPr="00B515B4">
        <w:rPr>
          <w:szCs w:val="24"/>
        </w:rPr>
        <w:t>8</w:t>
      </w:r>
      <w:r>
        <w:rPr>
          <w:szCs w:val="24"/>
        </w:rPr>
        <w:t xml:space="preserve">: </w:t>
      </w:r>
      <w:r w:rsidR="00EA367E">
        <w:rPr>
          <w:szCs w:val="24"/>
        </w:rPr>
        <w:t xml:space="preserve"> </w:t>
      </w:r>
      <w:r w:rsidR="003A5735" w:rsidRPr="007A3227">
        <w:rPr>
          <w:szCs w:val="24"/>
        </w:rPr>
        <w:t xml:space="preserve">What is the appropriate overall rate of return, return on </w:t>
      </w:r>
      <w:r w:rsidRPr="007A3227">
        <w:rPr>
          <w:szCs w:val="24"/>
        </w:rPr>
        <w:t>e</w:t>
      </w:r>
      <w:r w:rsidR="003A5735" w:rsidRPr="007A3227">
        <w:rPr>
          <w:szCs w:val="24"/>
        </w:rPr>
        <w:t xml:space="preserve">quity, and cost of debt for </w:t>
      </w:r>
      <w:r w:rsidR="005724EF" w:rsidRPr="007A3227">
        <w:rPr>
          <w:szCs w:val="24"/>
        </w:rPr>
        <w:t>C</w:t>
      </w:r>
      <w:r w:rsidR="00B515B4" w:rsidRPr="007A3227">
        <w:rPr>
          <w:szCs w:val="24"/>
        </w:rPr>
        <w:t>enterPoint</w:t>
      </w:r>
      <w:r w:rsidR="003A5735" w:rsidRPr="007A3227">
        <w:rPr>
          <w:szCs w:val="24"/>
        </w:rPr>
        <w:t>?  When answering this issue</w:t>
      </w:r>
      <w:r w:rsidR="00694ADA" w:rsidRPr="007A3227">
        <w:rPr>
          <w:szCs w:val="24"/>
        </w:rPr>
        <w:t>,</w:t>
      </w:r>
      <w:r w:rsidR="003A5735" w:rsidRPr="007A3227">
        <w:rPr>
          <w:szCs w:val="24"/>
        </w:rPr>
        <w:t xml:space="preserve"> please address how the factors specified </w:t>
      </w:r>
      <w:bookmarkStart w:id="7" w:name="OLE_LINK15"/>
      <w:r w:rsidR="003A5735" w:rsidRPr="007A3227">
        <w:rPr>
          <w:szCs w:val="24"/>
        </w:rPr>
        <w:t xml:space="preserve">in </w:t>
      </w:r>
      <w:r w:rsidR="00A928DE" w:rsidRPr="00A928DE">
        <w:rPr>
          <w:szCs w:val="24"/>
        </w:rPr>
        <w:t>Public Utility Regulatory Act</w:t>
      </w:r>
      <w:r w:rsidR="001054F3">
        <w:rPr>
          <w:rStyle w:val="FootnoteReference"/>
          <w:szCs w:val="24"/>
        </w:rPr>
        <w:footnoteReference w:id="1"/>
      </w:r>
      <w:r w:rsidR="00A928DE" w:rsidRPr="00A928DE">
        <w:rPr>
          <w:szCs w:val="24"/>
        </w:rPr>
        <w:t xml:space="preserve"> </w:t>
      </w:r>
      <w:r w:rsidR="00A928DE">
        <w:rPr>
          <w:szCs w:val="24"/>
        </w:rPr>
        <w:t>(</w:t>
      </w:r>
      <w:r w:rsidR="003A5735" w:rsidRPr="007A3227">
        <w:rPr>
          <w:szCs w:val="24"/>
        </w:rPr>
        <w:t>PURA</w:t>
      </w:r>
      <w:r w:rsidR="00A928DE">
        <w:rPr>
          <w:szCs w:val="24"/>
        </w:rPr>
        <w:t>)</w:t>
      </w:r>
      <w:r w:rsidR="003A5735" w:rsidRPr="007A3227">
        <w:rPr>
          <w:szCs w:val="24"/>
        </w:rPr>
        <w:t xml:space="preserve"> </w:t>
      </w:r>
      <w:bookmarkEnd w:id="7"/>
      <w:r w:rsidR="003A5735" w:rsidRPr="007A3227">
        <w:rPr>
          <w:szCs w:val="24"/>
        </w:rPr>
        <w:t>§ 36.052 and 16 TAC § 2</w:t>
      </w:r>
      <w:r w:rsidR="00EA1E00" w:rsidRPr="007A3227">
        <w:rPr>
          <w:szCs w:val="24"/>
        </w:rPr>
        <w:t xml:space="preserve">5.231(c)(1) should affect </w:t>
      </w:r>
      <w:r w:rsidR="002D7413" w:rsidRPr="007A3227">
        <w:rPr>
          <w:szCs w:val="24"/>
        </w:rPr>
        <w:t>C</w:t>
      </w:r>
      <w:r w:rsidR="00B515B4" w:rsidRPr="007A3227">
        <w:rPr>
          <w:szCs w:val="24"/>
        </w:rPr>
        <w:t xml:space="preserve">enterPoint’s </w:t>
      </w:r>
      <w:r w:rsidR="003A5735" w:rsidRPr="007A3227">
        <w:rPr>
          <w:szCs w:val="24"/>
        </w:rPr>
        <w:t>rate of return</w:t>
      </w:r>
      <w:r w:rsidR="00EA367E">
        <w:rPr>
          <w:szCs w:val="24"/>
        </w:rPr>
        <w:t>;</w:t>
      </w:r>
      <w:r w:rsidR="002013B1">
        <w:rPr>
          <w:szCs w:val="24"/>
        </w:rPr>
        <w:t xml:space="preserve"> and</w:t>
      </w:r>
    </w:p>
    <w:p w14:paraId="793192CC" w14:textId="04609D28" w:rsidR="00C40BE2" w:rsidRPr="00C40BE2" w:rsidRDefault="00C40BE2" w:rsidP="00C40BE2">
      <w:pPr>
        <w:pStyle w:val="ListParagraph"/>
        <w:numPr>
          <w:ilvl w:val="0"/>
          <w:numId w:val="22"/>
        </w:numPr>
        <w:spacing w:line="480" w:lineRule="auto"/>
      </w:pPr>
      <w:r w:rsidRPr="00C40BE2">
        <w:t>Issue No. 55:</w:t>
      </w:r>
      <w:r w:rsidR="00B366B8">
        <w:t xml:space="preserve"> </w:t>
      </w:r>
      <w:r w:rsidRPr="00C40BE2">
        <w:t xml:space="preserve"> What is the appropriate rate of interest and calculation period for any carrying costs on CenterPoint's claimed hurricane restoration costs?</w:t>
      </w:r>
      <w:r w:rsidR="008C32F3">
        <w:rPr>
          <w:rStyle w:val="FootnoteReference"/>
        </w:rPr>
        <w:footnoteReference w:id="2"/>
      </w:r>
    </w:p>
    <w:p w14:paraId="0FC45D0E" w14:textId="457AEB79" w:rsidR="00DA4BD7" w:rsidRPr="006A5F0F" w:rsidRDefault="00DA4BD7" w:rsidP="001A60E8">
      <w:pPr>
        <w:pStyle w:val="BodyTextIndent2"/>
        <w:jc w:val="both"/>
        <w:rPr>
          <w:b/>
          <w:szCs w:val="24"/>
        </w:rPr>
      </w:pPr>
      <w:r w:rsidRPr="006A5F0F">
        <w:rPr>
          <w:b/>
          <w:szCs w:val="24"/>
        </w:rPr>
        <w:t>Q.</w:t>
      </w:r>
      <w:r w:rsidRPr="006A5F0F">
        <w:rPr>
          <w:b/>
          <w:szCs w:val="24"/>
        </w:rPr>
        <w:tab/>
      </w:r>
      <w:r>
        <w:rPr>
          <w:b/>
          <w:szCs w:val="24"/>
        </w:rPr>
        <w:t xml:space="preserve">What </w:t>
      </w:r>
      <w:r>
        <w:rPr>
          <w:rFonts w:ascii="Times" w:hAnsi="Times"/>
          <w:b/>
        </w:rPr>
        <w:t>documents and data did you review in arriving at the conclusions and recommendations contained in your testimony</w:t>
      </w:r>
      <w:r w:rsidRPr="00D23415">
        <w:rPr>
          <w:rFonts w:ascii="Times" w:hAnsi="Times"/>
          <w:b/>
        </w:rPr>
        <w:t>?</w:t>
      </w:r>
    </w:p>
    <w:p w14:paraId="0A694DF1" w14:textId="594A078B" w:rsidR="00DA4BD7" w:rsidRDefault="00DA4BD7" w:rsidP="001A60E8">
      <w:pPr>
        <w:pStyle w:val="BodyTextIndent2"/>
        <w:tabs>
          <w:tab w:val="left" w:pos="1800"/>
        </w:tabs>
        <w:jc w:val="both"/>
        <w:rPr>
          <w:szCs w:val="24"/>
        </w:rPr>
      </w:pPr>
      <w:r w:rsidRPr="006A5F0F">
        <w:rPr>
          <w:szCs w:val="24"/>
        </w:rPr>
        <w:t>A.</w:t>
      </w:r>
      <w:r w:rsidRPr="006A5F0F">
        <w:rPr>
          <w:szCs w:val="24"/>
        </w:rPr>
        <w:tab/>
      </w:r>
      <w:r w:rsidR="00814F30">
        <w:rPr>
          <w:szCs w:val="24"/>
        </w:rPr>
        <w:t xml:space="preserve">I reviewed </w:t>
      </w:r>
      <w:r w:rsidR="0081522A">
        <w:rPr>
          <w:szCs w:val="24"/>
        </w:rPr>
        <w:t xml:space="preserve">the </w:t>
      </w:r>
      <w:r w:rsidR="0081522A" w:rsidRPr="0081522A">
        <w:rPr>
          <w:i/>
          <w:szCs w:val="24"/>
        </w:rPr>
        <w:t>Application of CenterPoint Energy Houston Electric, LLC for Authority to Change Rates</w:t>
      </w:r>
      <w:r w:rsidR="0081522A">
        <w:rPr>
          <w:szCs w:val="24"/>
        </w:rPr>
        <w:t xml:space="preserve"> </w:t>
      </w:r>
      <w:r w:rsidR="00814F30" w:rsidRPr="002D7413">
        <w:rPr>
          <w:szCs w:val="24"/>
        </w:rPr>
        <w:t>(“Application”)</w:t>
      </w:r>
      <w:r w:rsidR="00814F30">
        <w:rPr>
          <w:szCs w:val="24"/>
        </w:rPr>
        <w:t xml:space="preserve"> and </w:t>
      </w:r>
      <w:r w:rsidR="00B84FCF">
        <w:rPr>
          <w:szCs w:val="24"/>
        </w:rPr>
        <w:t xml:space="preserve">CEHE’s </w:t>
      </w:r>
      <w:r w:rsidRPr="00DA4BD7">
        <w:rPr>
          <w:szCs w:val="24"/>
        </w:rPr>
        <w:t xml:space="preserve">responses to </w:t>
      </w:r>
      <w:r w:rsidR="0081522A">
        <w:rPr>
          <w:szCs w:val="24"/>
        </w:rPr>
        <w:t>r</w:t>
      </w:r>
      <w:r w:rsidRPr="00DA4BD7">
        <w:rPr>
          <w:szCs w:val="24"/>
        </w:rPr>
        <w:t xml:space="preserve">equests for </w:t>
      </w:r>
      <w:r w:rsidR="0081522A">
        <w:rPr>
          <w:szCs w:val="24"/>
        </w:rPr>
        <w:t>i</w:t>
      </w:r>
      <w:r w:rsidRPr="00DA4BD7">
        <w:rPr>
          <w:szCs w:val="24"/>
        </w:rPr>
        <w:t>nformation (“RFIs”) during the discovery period.  I also considered and analyzed data from financial resources such as Moody’s Investor</w:t>
      </w:r>
      <w:r w:rsidR="00074389">
        <w:rPr>
          <w:szCs w:val="24"/>
        </w:rPr>
        <w:t>s</w:t>
      </w:r>
      <w:r w:rsidRPr="00DA4BD7">
        <w:rPr>
          <w:szCs w:val="24"/>
        </w:rPr>
        <w:t xml:space="preserve"> Service (“Moody’s”), </w:t>
      </w:r>
      <w:r w:rsidR="00D30F32">
        <w:t>Fitch Ratings (</w:t>
      </w:r>
      <w:r w:rsidR="00D5004F">
        <w:t>“</w:t>
      </w:r>
      <w:r w:rsidR="00D30F32">
        <w:t>Fitch</w:t>
      </w:r>
      <w:r w:rsidR="00D5004F">
        <w:t>”</w:t>
      </w:r>
      <w:r w:rsidR="00D30F32">
        <w:t xml:space="preserve">), </w:t>
      </w:r>
      <w:r w:rsidRPr="00DA4BD7">
        <w:rPr>
          <w:szCs w:val="24"/>
        </w:rPr>
        <w:t>Standard and Poor’s</w:t>
      </w:r>
      <w:r w:rsidR="00D30F32">
        <w:rPr>
          <w:szCs w:val="24"/>
        </w:rPr>
        <w:t xml:space="preserve"> Global Ratings</w:t>
      </w:r>
      <w:r w:rsidRPr="00DA4BD7">
        <w:rPr>
          <w:szCs w:val="24"/>
        </w:rPr>
        <w:t xml:space="preserve"> (“S&amp;P”), Value Line Investment Survey (“Value Line”), </w:t>
      </w:r>
      <w:proofErr w:type="spellStart"/>
      <w:r w:rsidRPr="00DA4BD7">
        <w:rPr>
          <w:szCs w:val="24"/>
        </w:rPr>
        <w:t>Zacks</w:t>
      </w:r>
      <w:proofErr w:type="spellEnd"/>
      <w:r w:rsidRPr="00DA4BD7">
        <w:rPr>
          <w:szCs w:val="24"/>
        </w:rPr>
        <w:t xml:space="preserve"> Investment Service (“</w:t>
      </w:r>
      <w:proofErr w:type="spellStart"/>
      <w:r w:rsidRPr="00DA4BD7">
        <w:rPr>
          <w:szCs w:val="24"/>
        </w:rPr>
        <w:t>Zacks</w:t>
      </w:r>
      <w:proofErr w:type="spellEnd"/>
      <w:r w:rsidRPr="00DA4BD7">
        <w:rPr>
          <w:szCs w:val="24"/>
        </w:rPr>
        <w:t>”), and S&amp;P Global Market Intelligence (formerly SNL Financial)</w:t>
      </w:r>
      <w:r w:rsidR="00814F30">
        <w:rPr>
          <w:szCs w:val="24"/>
        </w:rPr>
        <w:t>.</w:t>
      </w:r>
    </w:p>
    <w:p w14:paraId="7137A6AC" w14:textId="34D38634" w:rsidR="00093618" w:rsidRPr="006A5F0F" w:rsidRDefault="00093618" w:rsidP="00093618">
      <w:pPr>
        <w:pStyle w:val="BodyTextIndent2"/>
        <w:jc w:val="both"/>
        <w:rPr>
          <w:b/>
          <w:szCs w:val="24"/>
        </w:rPr>
      </w:pPr>
      <w:r w:rsidRPr="006A5F0F">
        <w:rPr>
          <w:b/>
          <w:szCs w:val="24"/>
        </w:rPr>
        <w:t>Q.</w:t>
      </w:r>
      <w:r w:rsidRPr="006A5F0F">
        <w:rPr>
          <w:b/>
          <w:szCs w:val="24"/>
        </w:rPr>
        <w:tab/>
      </w:r>
      <w:r>
        <w:rPr>
          <w:b/>
          <w:szCs w:val="24"/>
        </w:rPr>
        <w:t xml:space="preserve">What </w:t>
      </w:r>
      <w:r>
        <w:rPr>
          <w:rFonts w:ascii="Times" w:hAnsi="Times"/>
          <w:b/>
        </w:rPr>
        <w:t xml:space="preserve">standards are you applying in </w:t>
      </w:r>
      <w:r w:rsidR="00854E4D">
        <w:rPr>
          <w:rFonts w:ascii="Times" w:hAnsi="Times"/>
          <w:b/>
        </w:rPr>
        <w:t xml:space="preserve">presenting the </w:t>
      </w:r>
      <w:r>
        <w:rPr>
          <w:rFonts w:ascii="Times" w:hAnsi="Times"/>
          <w:b/>
        </w:rPr>
        <w:t>conclusions and recommendations in your testimony?</w:t>
      </w:r>
    </w:p>
    <w:p w14:paraId="7AD1F25B" w14:textId="264B5C36" w:rsidR="001A79A7" w:rsidRDefault="00093618" w:rsidP="002013B1">
      <w:pPr>
        <w:pStyle w:val="BodyTextIndent2"/>
        <w:tabs>
          <w:tab w:val="left" w:pos="1800"/>
        </w:tabs>
        <w:jc w:val="both"/>
        <w:rPr>
          <w:szCs w:val="24"/>
        </w:rPr>
      </w:pPr>
      <w:r w:rsidRPr="006A5F0F">
        <w:rPr>
          <w:szCs w:val="24"/>
        </w:rPr>
        <w:t>A.</w:t>
      </w:r>
      <w:r w:rsidRPr="006A5F0F">
        <w:rPr>
          <w:szCs w:val="24"/>
        </w:rPr>
        <w:tab/>
      </w:r>
      <w:r w:rsidR="00D627B5">
        <w:rPr>
          <w:szCs w:val="24"/>
        </w:rPr>
        <w:t xml:space="preserve">I am applying the </w:t>
      </w:r>
      <w:r w:rsidR="00423B99">
        <w:rPr>
          <w:szCs w:val="24"/>
        </w:rPr>
        <w:t>following</w:t>
      </w:r>
      <w:r w:rsidR="00397A7F">
        <w:rPr>
          <w:szCs w:val="24"/>
        </w:rPr>
        <w:t xml:space="preserve"> standards</w:t>
      </w:r>
      <w:r w:rsidR="00A80CDB">
        <w:rPr>
          <w:szCs w:val="24"/>
        </w:rPr>
        <w:t>:</w:t>
      </w:r>
      <w:r w:rsidR="00397A7F">
        <w:rPr>
          <w:szCs w:val="24"/>
        </w:rPr>
        <w:t xml:space="preserve"> </w:t>
      </w:r>
      <w:r w:rsidR="001A79A7">
        <w:rPr>
          <w:szCs w:val="24"/>
        </w:rPr>
        <w:tab/>
      </w:r>
    </w:p>
    <w:p w14:paraId="2CA5587D" w14:textId="1F56B29E" w:rsidR="00093618" w:rsidRDefault="00A928DE" w:rsidP="002E04A6">
      <w:pPr>
        <w:pStyle w:val="BodyTextIndent2"/>
        <w:numPr>
          <w:ilvl w:val="0"/>
          <w:numId w:val="25"/>
        </w:numPr>
        <w:jc w:val="both"/>
        <w:rPr>
          <w:szCs w:val="24"/>
        </w:rPr>
      </w:pPr>
      <w:r>
        <w:rPr>
          <w:szCs w:val="24"/>
        </w:rPr>
        <w:t>PURA</w:t>
      </w:r>
      <w:r w:rsidR="00D51FE2" w:rsidRPr="00D51FE2">
        <w:rPr>
          <w:szCs w:val="24"/>
        </w:rPr>
        <w:t xml:space="preserve"> § 36.</w:t>
      </w:r>
      <w:r w:rsidR="00D51FE2">
        <w:rPr>
          <w:szCs w:val="24"/>
        </w:rPr>
        <w:t>051</w:t>
      </w:r>
      <w:r w:rsidR="00E144E2">
        <w:rPr>
          <w:szCs w:val="24"/>
        </w:rPr>
        <w:t>,</w:t>
      </w:r>
      <w:r w:rsidR="00D51FE2">
        <w:rPr>
          <w:szCs w:val="24"/>
        </w:rPr>
        <w:t xml:space="preserve"> which states:</w:t>
      </w:r>
    </w:p>
    <w:p w14:paraId="7A092388" w14:textId="62233FAD" w:rsidR="00062B3D" w:rsidRDefault="00062B3D" w:rsidP="0002443B">
      <w:pPr>
        <w:pStyle w:val="BodyTextIndent2"/>
        <w:tabs>
          <w:tab w:val="left" w:pos="1800"/>
        </w:tabs>
        <w:spacing w:line="240" w:lineRule="auto"/>
        <w:ind w:left="1440" w:right="1080"/>
        <w:jc w:val="both"/>
        <w:rPr>
          <w:szCs w:val="24"/>
        </w:rPr>
      </w:pPr>
      <w:r>
        <w:rPr>
          <w:szCs w:val="24"/>
        </w:rPr>
        <w:tab/>
      </w:r>
      <w:r w:rsidRPr="00062B3D">
        <w:rPr>
          <w:szCs w:val="24"/>
        </w:rPr>
        <w:t>In establishing an electric utility</w:t>
      </w:r>
      <w:r w:rsidR="00B84FCF">
        <w:rPr>
          <w:szCs w:val="24"/>
        </w:rPr>
        <w:t>’</w:t>
      </w:r>
      <w:r w:rsidRPr="00062B3D">
        <w:rPr>
          <w:szCs w:val="24"/>
        </w:rPr>
        <w:t>s rates, the regulatory authority</w:t>
      </w:r>
      <w:r>
        <w:rPr>
          <w:szCs w:val="24"/>
        </w:rPr>
        <w:t xml:space="preserve"> </w:t>
      </w:r>
      <w:r w:rsidRPr="00062B3D">
        <w:rPr>
          <w:szCs w:val="24"/>
        </w:rPr>
        <w:t>shall establish the utility</w:t>
      </w:r>
      <w:r w:rsidR="00F26FB4">
        <w:rPr>
          <w:szCs w:val="24"/>
        </w:rPr>
        <w:t>’</w:t>
      </w:r>
      <w:r w:rsidRPr="00062B3D">
        <w:rPr>
          <w:szCs w:val="24"/>
        </w:rPr>
        <w:t>s overall revenues at an amount that will</w:t>
      </w:r>
      <w:r>
        <w:rPr>
          <w:szCs w:val="24"/>
        </w:rPr>
        <w:t xml:space="preserve"> </w:t>
      </w:r>
      <w:r w:rsidRPr="00062B3D">
        <w:rPr>
          <w:szCs w:val="24"/>
        </w:rPr>
        <w:t>permit the utility a reasonable opportunity to earn a reasonable</w:t>
      </w:r>
      <w:r>
        <w:rPr>
          <w:szCs w:val="24"/>
        </w:rPr>
        <w:t xml:space="preserve"> </w:t>
      </w:r>
      <w:r w:rsidRPr="00062B3D">
        <w:rPr>
          <w:szCs w:val="24"/>
        </w:rPr>
        <w:t>return on the utility</w:t>
      </w:r>
      <w:r w:rsidR="00041CF4">
        <w:rPr>
          <w:szCs w:val="24"/>
        </w:rPr>
        <w:t>’</w:t>
      </w:r>
      <w:r w:rsidRPr="00062B3D">
        <w:rPr>
          <w:szCs w:val="24"/>
        </w:rPr>
        <w:t>s invested capital used and useful in providing</w:t>
      </w:r>
      <w:r>
        <w:rPr>
          <w:szCs w:val="24"/>
        </w:rPr>
        <w:t xml:space="preserve"> </w:t>
      </w:r>
      <w:r w:rsidRPr="00062B3D">
        <w:rPr>
          <w:szCs w:val="24"/>
        </w:rPr>
        <w:t>service to the public in excess of the utility</w:t>
      </w:r>
      <w:r w:rsidR="00041CF4">
        <w:rPr>
          <w:szCs w:val="24"/>
        </w:rPr>
        <w:t>’</w:t>
      </w:r>
      <w:r w:rsidRPr="00062B3D">
        <w:rPr>
          <w:szCs w:val="24"/>
        </w:rPr>
        <w:t>s reasonable and</w:t>
      </w:r>
      <w:r>
        <w:rPr>
          <w:szCs w:val="24"/>
        </w:rPr>
        <w:t xml:space="preserve"> </w:t>
      </w:r>
      <w:r w:rsidRPr="00062B3D">
        <w:rPr>
          <w:szCs w:val="24"/>
        </w:rPr>
        <w:t>necessary operating expenses</w:t>
      </w:r>
      <w:r w:rsidR="000D12D2">
        <w:rPr>
          <w:szCs w:val="24"/>
        </w:rPr>
        <w:t>.</w:t>
      </w:r>
    </w:p>
    <w:p w14:paraId="40CA3C47" w14:textId="77777777" w:rsidR="00373ECE" w:rsidRDefault="00373ECE" w:rsidP="00062B3D">
      <w:pPr>
        <w:pStyle w:val="BodyTextIndent2"/>
        <w:tabs>
          <w:tab w:val="left" w:pos="1800"/>
        </w:tabs>
        <w:spacing w:line="240" w:lineRule="auto"/>
        <w:ind w:left="1440"/>
        <w:jc w:val="both"/>
        <w:rPr>
          <w:szCs w:val="24"/>
        </w:rPr>
      </w:pPr>
    </w:p>
    <w:p w14:paraId="50975040" w14:textId="7F821841" w:rsidR="00373ECE" w:rsidRDefault="00D54F75" w:rsidP="002E04A6">
      <w:pPr>
        <w:pStyle w:val="BodyTextIndent2"/>
        <w:numPr>
          <w:ilvl w:val="0"/>
          <w:numId w:val="25"/>
        </w:numPr>
        <w:jc w:val="both"/>
        <w:rPr>
          <w:szCs w:val="24"/>
        </w:rPr>
      </w:pPr>
      <w:r>
        <w:rPr>
          <w:szCs w:val="24"/>
        </w:rPr>
        <w:t xml:space="preserve">PURA </w:t>
      </w:r>
      <w:r w:rsidR="00373ECE" w:rsidRPr="00D51FE2">
        <w:rPr>
          <w:szCs w:val="24"/>
        </w:rPr>
        <w:t>§ 36.</w:t>
      </w:r>
      <w:r>
        <w:rPr>
          <w:szCs w:val="24"/>
        </w:rPr>
        <w:t>052</w:t>
      </w:r>
      <w:r w:rsidR="00E144E2">
        <w:rPr>
          <w:szCs w:val="24"/>
        </w:rPr>
        <w:t>,</w:t>
      </w:r>
      <w:r w:rsidR="00373ECE">
        <w:rPr>
          <w:szCs w:val="24"/>
        </w:rPr>
        <w:t xml:space="preserve"> which states:</w:t>
      </w:r>
    </w:p>
    <w:p w14:paraId="28365993" w14:textId="5A1606A6" w:rsidR="00D54F75" w:rsidRPr="00D54F75" w:rsidRDefault="00D54F75" w:rsidP="00F54A7E">
      <w:pPr>
        <w:pStyle w:val="Default"/>
        <w:ind w:left="1440" w:right="990"/>
        <w:rPr>
          <w:rFonts w:ascii="Times New Roman" w:hAnsi="Times New Roman" w:cs="Times New Roman"/>
        </w:rPr>
      </w:pPr>
      <w:r w:rsidRPr="00D54F75">
        <w:rPr>
          <w:rFonts w:ascii="Times New Roman" w:hAnsi="Times New Roman" w:cs="Times New Roman"/>
        </w:rPr>
        <w:t xml:space="preserve">In establishing a reasonable return on invested capital, the regulatory authority shall consider applicable factors, including: </w:t>
      </w:r>
    </w:p>
    <w:p w14:paraId="4817284E" w14:textId="104C00F4" w:rsidR="00D54F75" w:rsidRPr="00D54F75" w:rsidRDefault="00D54F75" w:rsidP="00F54A7E">
      <w:pPr>
        <w:autoSpaceDE w:val="0"/>
        <w:autoSpaceDN w:val="0"/>
        <w:adjustRightInd w:val="0"/>
        <w:ind w:left="1440" w:right="990" w:firstLine="720"/>
        <w:rPr>
          <w:color w:val="000000"/>
          <w:sz w:val="24"/>
          <w:szCs w:val="24"/>
        </w:rPr>
      </w:pPr>
      <w:r w:rsidRPr="00D54F75">
        <w:rPr>
          <w:color w:val="000000"/>
          <w:sz w:val="24"/>
          <w:szCs w:val="24"/>
        </w:rPr>
        <w:t xml:space="preserve">(1) </w:t>
      </w:r>
      <w:proofErr w:type="gramStart"/>
      <w:r w:rsidRPr="00D54F75">
        <w:rPr>
          <w:color w:val="000000"/>
          <w:sz w:val="24"/>
          <w:szCs w:val="24"/>
        </w:rPr>
        <w:t>the</w:t>
      </w:r>
      <w:proofErr w:type="gramEnd"/>
      <w:r w:rsidRPr="00D54F75">
        <w:rPr>
          <w:color w:val="000000"/>
          <w:sz w:val="24"/>
          <w:szCs w:val="24"/>
        </w:rPr>
        <w:t xml:space="preserve"> efforts and achievements of the utility in conserving </w:t>
      </w:r>
      <w:r w:rsidR="00F54A7E">
        <w:rPr>
          <w:color w:val="000000"/>
          <w:sz w:val="24"/>
          <w:szCs w:val="24"/>
        </w:rPr>
        <w:tab/>
      </w:r>
      <w:r w:rsidRPr="00D54F75">
        <w:rPr>
          <w:color w:val="000000"/>
          <w:sz w:val="24"/>
          <w:szCs w:val="24"/>
        </w:rPr>
        <w:t xml:space="preserve">resources; </w:t>
      </w:r>
    </w:p>
    <w:p w14:paraId="3B721240" w14:textId="064E1D88" w:rsidR="00D54F75" w:rsidRPr="00D54F75" w:rsidRDefault="00D54F75" w:rsidP="00F54A7E">
      <w:pPr>
        <w:autoSpaceDE w:val="0"/>
        <w:autoSpaceDN w:val="0"/>
        <w:adjustRightInd w:val="0"/>
        <w:ind w:left="1440" w:right="990" w:firstLine="720"/>
        <w:rPr>
          <w:color w:val="000000"/>
          <w:sz w:val="24"/>
          <w:szCs w:val="24"/>
        </w:rPr>
      </w:pPr>
      <w:r w:rsidRPr="00D54F75">
        <w:rPr>
          <w:color w:val="000000"/>
          <w:sz w:val="24"/>
          <w:szCs w:val="24"/>
        </w:rPr>
        <w:t xml:space="preserve">(2) </w:t>
      </w:r>
      <w:proofErr w:type="gramStart"/>
      <w:r w:rsidRPr="00D54F75">
        <w:rPr>
          <w:color w:val="000000"/>
          <w:sz w:val="24"/>
          <w:szCs w:val="24"/>
        </w:rPr>
        <w:t>the</w:t>
      </w:r>
      <w:proofErr w:type="gramEnd"/>
      <w:r w:rsidRPr="00D54F75">
        <w:rPr>
          <w:color w:val="000000"/>
          <w:sz w:val="24"/>
          <w:szCs w:val="24"/>
        </w:rPr>
        <w:t xml:space="preserve"> quality of the utility</w:t>
      </w:r>
      <w:r w:rsidR="00A559B1">
        <w:rPr>
          <w:color w:val="000000"/>
          <w:sz w:val="24"/>
          <w:szCs w:val="24"/>
        </w:rPr>
        <w:t>’</w:t>
      </w:r>
      <w:r w:rsidRPr="00D54F75">
        <w:rPr>
          <w:color w:val="000000"/>
          <w:sz w:val="24"/>
          <w:szCs w:val="24"/>
        </w:rPr>
        <w:t xml:space="preserve">s services; </w:t>
      </w:r>
    </w:p>
    <w:p w14:paraId="2232F9E4" w14:textId="6EAFF323" w:rsidR="00D54F75" w:rsidRPr="00D54F75" w:rsidRDefault="00D54F75" w:rsidP="00F54A7E">
      <w:pPr>
        <w:autoSpaceDE w:val="0"/>
        <w:autoSpaceDN w:val="0"/>
        <w:adjustRightInd w:val="0"/>
        <w:ind w:left="1440" w:right="990" w:firstLine="720"/>
        <w:rPr>
          <w:color w:val="000000"/>
          <w:sz w:val="24"/>
          <w:szCs w:val="24"/>
        </w:rPr>
      </w:pPr>
      <w:r w:rsidRPr="00D54F75">
        <w:rPr>
          <w:color w:val="000000"/>
          <w:sz w:val="24"/>
          <w:szCs w:val="24"/>
        </w:rPr>
        <w:t xml:space="preserve">(3) </w:t>
      </w:r>
      <w:proofErr w:type="gramStart"/>
      <w:r w:rsidRPr="00D54F75">
        <w:rPr>
          <w:color w:val="000000"/>
          <w:sz w:val="24"/>
          <w:szCs w:val="24"/>
        </w:rPr>
        <w:t>the</w:t>
      </w:r>
      <w:proofErr w:type="gramEnd"/>
      <w:r w:rsidRPr="00D54F75">
        <w:rPr>
          <w:color w:val="000000"/>
          <w:sz w:val="24"/>
          <w:szCs w:val="24"/>
        </w:rPr>
        <w:t xml:space="preserve"> efficiency of the utility</w:t>
      </w:r>
      <w:r w:rsidR="00A559B1">
        <w:rPr>
          <w:color w:val="000000"/>
          <w:sz w:val="24"/>
          <w:szCs w:val="24"/>
        </w:rPr>
        <w:t>’</w:t>
      </w:r>
      <w:r w:rsidRPr="00D54F75">
        <w:rPr>
          <w:color w:val="000000"/>
          <w:sz w:val="24"/>
          <w:szCs w:val="24"/>
        </w:rPr>
        <w:t xml:space="preserve">s operations; and </w:t>
      </w:r>
    </w:p>
    <w:p w14:paraId="32E5FFBC" w14:textId="4652E15B" w:rsidR="00062B3D" w:rsidRDefault="00D54F75" w:rsidP="00F54A7E">
      <w:pPr>
        <w:pStyle w:val="BodyTextIndent2"/>
        <w:tabs>
          <w:tab w:val="left" w:pos="1800"/>
        </w:tabs>
        <w:ind w:right="990"/>
        <w:jc w:val="both"/>
        <w:rPr>
          <w:szCs w:val="24"/>
        </w:rPr>
      </w:pPr>
      <w:r w:rsidRPr="00D54F75">
        <w:rPr>
          <w:color w:val="000000"/>
          <w:szCs w:val="24"/>
        </w:rPr>
        <w:tab/>
      </w:r>
      <w:r w:rsidRPr="00D54F75">
        <w:rPr>
          <w:color w:val="000000"/>
          <w:szCs w:val="24"/>
        </w:rPr>
        <w:tab/>
      </w:r>
      <w:r w:rsidRPr="00D54F75">
        <w:rPr>
          <w:color w:val="000000"/>
          <w:szCs w:val="24"/>
        </w:rPr>
        <w:tab/>
        <w:t xml:space="preserve">(4) </w:t>
      </w:r>
      <w:proofErr w:type="gramStart"/>
      <w:r w:rsidRPr="00D54F75">
        <w:rPr>
          <w:color w:val="000000"/>
          <w:szCs w:val="24"/>
        </w:rPr>
        <w:t>the</w:t>
      </w:r>
      <w:proofErr w:type="gramEnd"/>
      <w:r w:rsidRPr="00D54F75">
        <w:rPr>
          <w:color w:val="000000"/>
          <w:szCs w:val="24"/>
        </w:rPr>
        <w:t xml:space="preserve"> quality of the utility</w:t>
      </w:r>
      <w:r w:rsidR="00A559B1">
        <w:rPr>
          <w:color w:val="000000"/>
          <w:szCs w:val="24"/>
        </w:rPr>
        <w:t>’</w:t>
      </w:r>
      <w:r w:rsidRPr="00D54F75">
        <w:rPr>
          <w:color w:val="000000"/>
          <w:szCs w:val="24"/>
        </w:rPr>
        <w:t>s management</w:t>
      </w:r>
      <w:r w:rsidR="000D12D2">
        <w:rPr>
          <w:color w:val="000000"/>
          <w:szCs w:val="24"/>
        </w:rPr>
        <w:t>.</w:t>
      </w:r>
    </w:p>
    <w:p w14:paraId="2897CFA0" w14:textId="52FF757F" w:rsidR="00D54F75" w:rsidRDefault="007C4810" w:rsidP="002E04A6">
      <w:pPr>
        <w:pStyle w:val="BodyTextIndent2"/>
        <w:numPr>
          <w:ilvl w:val="0"/>
          <w:numId w:val="25"/>
        </w:numPr>
        <w:jc w:val="both"/>
        <w:rPr>
          <w:szCs w:val="24"/>
        </w:rPr>
      </w:pPr>
      <w:r>
        <w:rPr>
          <w:szCs w:val="24"/>
        </w:rPr>
        <w:t>16 Tex</w:t>
      </w:r>
      <w:r w:rsidR="00E144E2">
        <w:rPr>
          <w:szCs w:val="24"/>
        </w:rPr>
        <w:t>as</w:t>
      </w:r>
      <w:r>
        <w:rPr>
          <w:szCs w:val="24"/>
        </w:rPr>
        <w:t xml:space="preserve"> </w:t>
      </w:r>
      <w:r w:rsidR="00E96CD5">
        <w:rPr>
          <w:szCs w:val="24"/>
        </w:rPr>
        <w:t>Administrative</w:t>
      </w:r>
      <w:r>
        <w:rPr>
          <w:szCs w:val="24"/>
        </w:rPr>
        <w:t xml:space="preserve"> Code (“TAC”) </w:t>
      </w:r>
      <w:r w:rsidRPr="00D51FE2">
        <w:rPr>
          <w:szCs w:val="24"/>
        </w:rPr>
        <w:t>§</w:t>
      </w:r>
      <w:r w:rsidR="00E144E2">
        <w:rPr>
          <w:szCs w:val="24"/>
        </w:rPr>
        <w:t> </w:t>
      </w:r>
      <w:r>
        <w:rPr>
          <w:szCs w:val="24"/>
        </w:rPr>
        <w:t>25.231(c</w:t>
      </w:r>
      <w:proofErr w:type="gramStart"/>
      <w:r>
        <w:rPr>
          <w:szCs w:val="24"/>
        </w:rPr>
        <w:t>)(</w:t>
      </w:r>
      <w:proofErr w:type="gramEnd"/>
      <w:r>
        <w:rPr>
          <w:szCs w:val="24"/>
        </w:rPr>
        <w:t>1)</w:t>
      </w:r>
      <w:r w:rsidR="00A10082">
        <w:rPr>
          <w:szCs w:val="24"/>
        </w:rPr>
        <w:t xml:space="preserve"> in its entirety</w:t>
      </w:r>
      <w:r w:rsidR="000D12D2">
        <w:rPr>
          <w:szCs w:val="24"/>
        </w:rPr>
        <w:t>.</w:t>
      </w:r>
    </w:p>
    <w:p w14:paraId="67F9A979" w14:textId="083B18B8" w:rsidR="00706F74" w:rsidRDefault="002E04A6" w:rsidP="002E04A6">
      <w:pPr>
        <w:pStyle w:val="BodyTextIndent2"/>
        <w:numPr>
          <w:ilvl w:val="0"/>
          <w:numId w:val="25"/>
        </w:numPr>
        <w:jc w:val="both"/>
        <w:rPr>
          <w:szCs w:val="24"/>
        </w:rPr>
      </w:pPr>
      <w:r>
        <w:rPr>
          <w:szCs w:val="24"/>
        </w:rPr>
        <w:t>T</w:t>
      </w:r>
      <w:r w:rsidR="008C3387">
        <w:rPr>
          <w:szCs w:val="24"/>
        </w:rPr>
        <w:t>wo decisions of the U.S. Supreme Court:</w:t>
      </w:r>
    </w:p>
    <w:p w14:paraId="08BD13B5" w14:textId="62DBD4CF" w:rsidR="00BB6E11" w:rsidRDefault="008C3387" w:rsidP="00236778">
      <w:pPr>
        <w:pStyle w:val="BodyTextIndent2"/>
        <w:numPr>
          <w:ilvl w:val="0"/>
          <w:numId w:val="27"/>
        </w:numPr>
        <w:spacing w:line="240" w:lineRule="auto"/>
        <w:ind w:right="1260"/>
        <w:jc w:val="both"/>
        <w:rPr>
          <w:color w:val="000000"/>
          <w:szCs w:val="24"/>
        </w:rPr>
      </w:pPr>
      <w:r w:rsidRPr="0025217B">
        <w:rPr>
          <w:color w:val="000000"/>
          <w:szCs w:val="24"/>
        </w:rPr>
        <w:t>Bluefield Water Works &amp;</w:t>
      </w:r>
      <w:r w:rsidR="00BB6E11" w:rsidRPr="0025217B">
        <w:rPr>
          <w:color w:val="000000"/>
          <w:szCs w:val="24"/>
        </w:rPr>
        <w:t xml:space="preserve"> </w:t>
      </w:r>
      <w:r w:rsidRPr="0025217B">
        <w:rPr>
          <w:color w:val="000000"/>
          <w:szCs w:val="24"/>
        </w:rPr>
        <w:t>Improvement Co. v. Public Service Commission of West Virginia</w:t>
      </w:r>
      <w:r w:rsidRPr="008C3387">
        <w:rPr>
          <w:color w:val="000000"/>
          <w:szCs w:val="24"/>
        </w:rPr>
        <w:t xml:space="preserve"> (“</w:t>
      </w:r>
      <w:r w:rsidRPr="008C3387">
        <w:rPr>
          <w:i/>
          <w:color w:val="000000"/>
          <w:szCs w:val="24"/>
        </w:rPr>
        <w:t>Bluefield</w:t>
      </w:r>
      <w:r w:rsidRPr="008C3387">
        <w:rPr>
          <w:color w:val="000000"/>
          <w:szCs w:val="24"/>
        </w:rPr>
        <w:t>”);</w:t>
      </w:r>
      <w:r w:rsidR="0025217B">
        <w:rPr>
          <w:rStyle w:val="FootnoteReference"/>
          <w:szCs w:val="24"/>
        </w:rPr>
        <w:footnoteReference w:id="3"/>
      </w:r>
      <w:r w:rsidRPr="008C3387">
        <w:rPr>
          <w:color w:val="000000"/>
          <w:szCs w:val="24"/>
        </w:rPr>
        <w:t xml:space="preserve"> </w:t>
      </w:r>
      <w:r w:rsidR="00706F74">
        <w:rPr>
          <w:color w:val="000000"/>
          <w:szCs w:val="24"/>
        </w:rPr>
        <w:t>and</w:t>
      </w:r>
    </w:p>
    <w:p w14:paraId="43CE84D1" w14:textId="1A774EBA" w:rsidR="008C3387" w:rsidRDefault="00BB6E11" w:rsidP="00A559B1">
      <w:pPr>
        <w:pStyle w:val="BodyTextIndent2"/>
        <w:spacing w:line="240" w:lineRule="auto"/>
        <w:ind w:left="360" w:right="1260" w:hanging="270"/>
        <w:jc w:val="both"/>
        <w:rPr>
          <w:szCs w:val="24"/>
        </w:rPr>
      </w:pPr>
      <w:r>
        <w:rPr>
          <w:szCs w:val="24"/>
        </w:rPr>
        <w:tab/>
      </w:r>
      <w:r>
        <w:rPr>
          <w:szCs w:val="24"/>
        </w:rPr>
        <w:tab/>
      </w:r>
      <w:r w:rsidR="002E04A6">
        <w:rPr>
          <w:szCs w:val="24"/>
        </w:rPr>
        <w:tab/>
      </w:r>
      <w:r w:rsidR="008C3387">
        <w:rPr>
          <w:szCs w:val="24"/>
        </w:rPr>
        <w:t xml:space="preserve">(2) </w:t>
      </w:r>
      <w:r w:rsidR="008C3387" w:rsidRPr="0025217B">
        <w:rPr>
          <w:szCs w:val="24"/>
        </w:rPr>
        <w:t>Fed</w:t>
      </w:r>
      <w:r w:rsidR="00236778">
        <w:rPr>
          <w:szCs w:val="24"/>
        </w:rPr>
        <w:t>eral</w:t>
      </w:r>
      <w:r w:rsidR="008C3387" w:rsidRPr="0025217B">
        <w:rPr>
          <w:szCs w:val="24"/>
        </w:rPr>
        <w:t xml:space="preserve"> Power Comm</w:t>
      </w:r>
      <w:r w:rsidR="00236778">
        <w:rPr>
          <w:szCs w:val="24"/>
        </w:rPr>
        <w:t>ission</w:t>
      </w:r>
      <w:r w:rsidR="008C3387" w:rsidRPr="0025217B">
        <w:rPr>
          <w:szCs w:val="24"/>
        </w:rPr>
        <w:t xml:space="preserve"> v. Hope Nat</w:t>
      </w:r>
      <w:r w:rsidR="00236778">
        <w:rPr>
          <w:szCs w:val="24"/>
        </w:rPr>
        <w:t>ural</w:t>
      </w:r>
      <w:r w:rsidR="008C3387" w:rsidRPr="0025217B">
        <w:rPr>
          <w:szCs w:val="24"/>
        </w:rPr>
        <w:t xml:space="preserve"> Gas Co.</w:t>
      </w:r>
      <w:r w:rsidR="008C3387" w:rsidRPr="006F4F12">
        <w:rPr>
          <w:szCs w:val="24"/>
        </w:rPr>
        <w:t xml:space="preserve"> (“</w:t>
      </w:r>
      <w:r w:rsidR="008C3387" w:rsidRPr="00887B1F">
        <w:rPr>
          <w:i/>
          <w:szCs w:val="24"/>
        </w:rPr>
        <w:t>Hope</w:t>
      </w:r>
      <w:r w:rsidR="008C3387">
        <w:rPr>
          <w:szCs w:val="24"/>
        </w:rPr>
        <w:t>”).</w:t>
      </w:r>
      <w:r w:rsidR="0025217B">
        <w:rPr>
          <w:rStyle w:val="FootnoteReference"/>
        </w:rPr>
        <w:footnoteReference w:id="4"/>
      </w:r>
    </w:p>
    <w:p w14:paraId="41E8631A" w14:textId="77777777" w:rsidR="002013B1" w:rsidRDefault="002013B1" w:rsidP="002E04A6">
      <w:pPr>
        <w:pStyle w:val="BodyTextIndent2"/>
        <w:spacing w:line="240" w:lineRule="auto"/>
        <w:jc w:val="both"/>
        <w:rPr>
          <w:szCs w:val="24"/>
        </w:rPr>
      </w:pPr>
    </w:p>
    <w:p w14:paraId="0B66A42B" w14:textId="77777777" w:rsidR="002013B1" w:rsidRDefault="002013B1" w:rsidP="002013B1">
      <w:pPr>
        <w:pStyle w:val="BodyTextIndent2"/>
        <w:numPr>
          <w:ilvl w:val="0"/>
          <w:numId w:val="25"/>
        </w:numPr>
        <w:jc w:val="both"/>
        <w:rPr>
          <w:szCs w:val="24"/>
        </w:rPr>
      </w:pPr>
      <w:r>
        <w:rPr>
          <w:szCs w:val="24"/>
        </w:rPr>
        <w:t xml:space="preserve">PURA </w:t>
      </w:r>
      <w:r w:rsidRPr="00D51FE2">
        <w:rPr>
          <w:szCs w:val="24"/>
        </w:rPr>
        <w:t>§ 36.</w:t>
      </w:r>
      <w:r>
        <w:rPr>
          <w:szCs w:val="24"/>
        </w:rPr>
        <w:t>402 (b), which states:</w:t>
      </w:r>
    </w:p>
    <w:p w14:paraId="682E9B1D" w14:textId="6E13F6D5" w:rsidR="002E04A6" w:rsidRDefault="002013B1" w:rsidP="00A559B1">
      <w:pPr>
        <w:pStyle w:val="BodyTextIndent2"/>
        <w:tabs>
          <w:tab w:val="left" w:pos="1800"/>
        </w:tabs>
        <w:spacing w:line="240" w:lineRule="auto"/>
        <w:ind w:left="1440" w:right="1080"/>
        <w:jc w:val="both"/>
        <w:rPr>
          <w:szCs w:val="24"/>
        </w:rPr>
      </w:pPr>
      <w:r>
        <w:rPr>
          <w:szCs w:val="24"/>
        </w:rPr>
        <w:tab/>
        <w:t xml:space="preserve">System restoration costs shall include carrying costs at the electric utility’s weighted average cost of capital as last approved by the Commission in a general rate proceeding from the date on which the system restoration costs were </w:t>
      </w:r>
      <w:r w:rsidR="000D12D2">
        <w:rPr>
          <w:szCs w:val="24"/>
        </w:rPr>
        <w:tab/>
      </w:r>
      <w:r>
        <w:rPr>
          <w:szCs w:val="24"/>
        </w:rPr>
        <w:t>incurred</w:t>
      </w:r>
      <w:r w:rsidR="00236778">
        <w:rPr>
          <w:szCs w:val="24"/>
        </w:rPr>
        <w:t xml:space="preserve"> . . . .</w:t>
      </w:r>
      <w:r>
        <w:rPr>
          <w:szCs w:val="24"/>
        </w:rPr>
        <w:t>;</w:t>
      </w:r>
    </w:p>
    <w:p w14:paraId="63D34C86" w14:textId="77777777" w:rsidR="000D12D2" w:rsidRDefault="000D12D2" w:rsidP="002013B1">
      <w:pPr>
        <w:pStyle w:val="BodyTextIndent2"/>
        <w:spacing w:line="240" w:lineRule="auto"/>
        <w:jc w:val="both"/>
        <w:rPr>
          <w:szCs w:val="24"/>
        </w:rPr>
      </w:pPr>
    </w:p>
    <w:p w14:paraId="615E2910" w14:textId="77777777" w:rsidR="00B617BF" w:rsidRDefault="00B617BF" w:rsidP="00B617BF">
      <w:pPr>
        <w:pStyle w:val="Heading1"/>
        <w:numPr>
          <w:ilvl w:val="0"/>
          <w:numId w:val="1"/>
        </w:numPr>
        <w:spacing w:line="480" w:lineRule="auto"/>
        <w:jc w:val="both"/>
        <w:rPr>
          <w:bCs/>
          <w:sz w:val="24"/>
        </w:rPr>
      </w:pPr>
      <w:bookmarkStart w:id="8" w:name="_Toc10117665"/>
      <w:r w:rsidRPr="00CC2F10">
        <w:rPr>
          <w:bCs/>
          <w:sz w:val="24"/>
        </w:rPr>
        <w:t>SUMMARY OF RECOMMENDATIONS</w:t>
      </w:r>
      <w:bookmarkEnd w:id="8"/>
    </w:p>
    <w:p w14:paraId="745A434B" w14:textId="2CADF89C" w:rsidR="00B617BF" w:rsidRDefault="00B617BF" w:rsidP="00B617BF">
      <w:pPr>
        <w:pStyle w:val="BodyTextIndent2"/>
        <w:jc w:val="both"/>
        <w:rPr>
          <w:b/>
          <w:bCs/>
        </w:rPr>
      </w:pPr>
      <w:r w:rsidRPr="00E30932">
        <w:rPr>
          <w:b/>
          <w:bCs/>
        </w:rPr>
        <w:t>Q.</w:t>
      </w:r>
      <w:r w:rsidRPr="00E30932">
        <w:rPr>
          <w:b/>
          <w:bCs/>
        </w:rPr>
        <w:tab/>
      </w:r>
      <w:r w:rsidRPr="001D4378">
        <w:rPr>
          <w:b/>
          <w:bCs/>
        </w:rPr>
        <w:t>Please summarize your recommendations in this docket.</w:t>
      </w:r>
    </w:p>
    <w:p w14:paraId="45D49772" w14:textId="77777777" w:rsidR="00B617BF" w:rsidRDefault="00B617BF" w:rsidP="00B617BF">
      <w:pPr>
        <w:pStyle w:val="BodyTextIndent2"/>
        <w:jc w:val="both"/>
      </w:pPr>
      <w:r w:rsidRPr="006A5F0F">
        <w:t>A.</w:t>
      </w:r>
      <w:r w:rsidRPr="006A5F0F">
        <w:tab/>
      </w:r>
      <w:r>
        <w:t>My recommendations are as follows:</w:t>
      </w:r>
    </w:p>
    <w:p w14:paraId="07C2CC5B" w14:textId="69A89A52" w:rsidR="00B617BF" w:rsidRDefault="00B617BF" w:rsidP="00B617BF">
      <w:pPr>
        <w:pStyle w:val="BodyTextIndent2"/>
        <w:numPr>
          <w:ilvl w:val="0"/>
          <w:numId w:val="14"/>
        </w:numPr>
        <w:jc w:val="both"/>
      </w:pPr>
      <w:r>
        <w:t>The cost of equity for CEHE ranges from 8.34% to 9.79%.  My recommended point estimate for the return on equity is 9.45%, the midpoint of the upper half of the range</w:t>
      </w:r>
      <w:r w:rsidR="00374654">
        <w:t>.</w:t>
      </w:r>
    </w:p>
    <w:p w14:paraId="57266DAA" w14:textId="536D4F9F" w:rsidR="00B617BF" w:rsidRPr="00D125ED" w:rsidRDefault="00B617BF" w:rsidP="00B617BF">
      <w:pPr>
        <w:pStyle w:val="ListParagraph"/>
        <w:numPr>
          <w:ilvl w:val="0"/>
          <w:numId w:val="14"/>
        </w:numPr>
        <w:spacing w:before="120" w:line="480" w:lineRule="auto"/>
        <w:ind w:left="1843" w:hanging="403"/>
        <w:jc w:val="both"/>
        <w:rPr>
          <w:szCs w:val="20"/>
        </w:rPr>
      </w:pPr>
      <w:r>
        <w:rPr>
          <w:szCs w:val="20"/>
        </w:rPr>
        <w:t>CEHE’s cost of debt is 4.38%.  This is the actual cost of debt for CEHE</w:t>
      </w:r>
      <w:r w:rsidRPr="00D125ED">
        <w:rPr>
          <w:szCs w:val="20"/>
        </w:rPr>
        <w:t xml:space="preserve"> for the test year, and it is the one the Company requests in its Appli</w:t>
      </w:r>
      <w:r>
        <w:rPr>
          <w:szCs w:val="20"/>
        </w:rPr>
        <w:t>cation.</w:t>
      </w:r>
      <w:r w:rsidR="001A5328">
        <w:rPr>
          <w:rStyle w:val="FootnoteReference"/>
        </w:rPr>
        <w:footnoteReference w:id="5"/>
      </w:r>
    </w:p>
    <w:p w14:paraId="7849EBD8" w14:textId="3029C056" w:rsidR="00B617BF" w:rsidRPr="00B529FE" w:rsidRDefault="00B617BF" w:rsidP="00B617BF">
      <w:pPr>
        <w:pStyle w:val="BodyTextIndent2"/>
        <w:numPr>
          <w:ilvl w:val="0"/>
          <w:numId w:val="14"/>
        </w:numPr>
        <w:jc w:val="both"/>
      </w:pPr>
      <w:r w:rsidRPr="001B4E43">
        <w:t xml:space="preserve">The appropriate capital structure for </w:t>
      </w:r>
      <w:r>
        <w:t>CEHE</w:t>
      </w:r>
      <w:r w:rsidRPr="001B4E43">
        <w:t xml:space="preserve"> for rate-se</w:t>
      </w:r>
      <w:r>
        <w:t>tting purposes consists of 60% long-term debt and 40</w:t>
      </w:r>
      <w:r w:rsidRPr="001B4E43">
        <w:t xml:space="preserve">% </w:t>
      </w:r>
      <w:r>
        <w:t xml:space="preserve">common </w:t>
      </w:r>
      <w:r w:rsidRPr="001B4E43">
        <w:t>equity.</w:t>
      </w:r>
      <w:r>
        <w:t xml:space="preserve">  This capital structure is consistent with the level of capital structure for </w:t>
      </w:r>
      <w:r w:rsidR="00E42147">
        <w:t>transmission and distribution utilities (</w:t>
      </w:r>
      <w:r>
        <w:t>TDUs</w:t>
      </w:r>
      <w:r w:rsidR="00E42147">
        <w:t>)</w:t>
      </w:r>
      <w:r>
        <w:t xml:space="preserve"> established by the </w:t>
      </w:r>
      <w:r w:rsidRPr="005573FF">
        <w:t>Commission</w:t>
      </w:r>
      <w:r>
        <w:t>’s ruling</w:t>
      </w:r>
      <w:r w:rsidRPr="005573FF">
        <w:t xml:space="preserve"> in </w:t>
      </w:r>
      <w:r>
        <w:t>Docket No. 22344</w:t>
      </w:r>
      <w:r w:rsidR="008A2ED6">
        <w:t>.</w:t>
      </w:r>
      <w:r w:rsidRPr="001A60E8">
        <w:rPr>
          <w:rStyle w:val="FootnoteReference"/>
        </w:rPr>
        <w:footnoteReference w:id="6"/>
      </w:r>
      <w:r>
        <w:t xml:space="preserve">  </w:t>
      </w:r>
    </w:p>
    <w:p w14:paraId="46E9BC8C" w14:textId="77777777" w:rsidR="00B617BF" w:rsidRDefault="00B617BF" w:rsidP="00B617BF">
      <w:pPr>
        <w:pStyle w:val="ListParagraph"/>
        <w:numPr>
          <w:ilvl w:val="0"/>
          <w:numId w:val="14"/>
        </w:numPr>
        <w:spacing w:line="480" w:lineRule="auto"/>
        <w:ind w:left="1843" w:hanging="403"/>
        <w:jc w:val="both"/>
        <w:rPr>
          <w:szCs w:val="20"/>
        </w:rPr>
      </w:pPr>
      <w:r w:rsidRPr="00B529FE">
        <w:rPr>
          <w:szCs w:val="20"/>
        </w:rPr>
        <w:t>The weighted</w:t>
      </w:r>
      <w:r>
        <w:rPr>
          <w:szCs w:val="20"/>
        </w:rPr>
        <w:t xml:space="preserve"> </w:t>
      </w:r>
      <w:r w:rsidRPr="00B529FE">
        <w:rPr>
          <w:szCs w:val="20"/>
        </w:rPr>
        <w:t>average cost of capital and recommended overall rate o</w:t>
      </w:r>
      <w:r>
        <w:rPr>
          <w:szCs w:val="20"/>
        </w:rPr>
        <w:t>f return for the Company is 6.41%.  Attachment JO</w:t>
      </w:r>
      <w:r w:rsidRPr="00B529FE">
        <w:rPr>
          <w:szCs w:val="20"/>
        </w:rPr>
        <w:t xml:space="preserve">-1 presents the calculation of this value </w:t>
      </w:r>
      <w:r>
        <w:rPr>
          <w:szCs w:val="20"/>
        </w:rPr>
        <w:t xml:space="preserve">based on </w:t>
      </w:r>
      <w:r w:rsidRPr="00B529FE">
        <w:rPr>
          <w:szCs w:val="20"/>
        </w:rPr>
        <w:t>the recommended capital structure and the component costs of capital.</w:t>
      </w:r>
    </w:p>
    <w:p w14:paraId="421EB572" w14:textId="29316EB7" w:rsidR="00622D85" w:rsidRDefault="00622D85" w:rsidP="00622D85">
      <w:pPr>
        <w:pStyle w:val="BodyTextIndent2"/>
        <w:numPr>
          <w:ilvl w:val="0"/>
          <w:numId w:val="14"/>
        </w:numPr>
        <w:jc w:val="both"/>
      </w:pPr>
      <w:r>
        <w:t xml:space="preserve">CEHE should be allowed to include in rates $8,742,497 of </w:t>
      </w:r>
      <w:r w:rsidRPr="00D32DB0">
        <w:t xml:space="preserve">Hurricane Harvey </w:t>
      </w:r>
      <w:r w:rsidR="00793FA6">
        <w:t>c</w:t>
      </w:r>
      <w:r w:rsidRPr="00D32DB0">
        <w:t xml:space="preserve">arrying </w:t>
      </w:r>
      <w:r w:rsidR="00793FA6">
        <w:t>c</w:t>
      </w:r>
      <w:r w:rsidRPr="00D32DB0">
        <w:t>osts</w:t>
      </w:r>
      <w:r w:rsidR="006A164D">
        <w:t>.</w:t>
      </w:r>
    </w:p>
    <w:p w14:paraId="16A032FD" w14:textId="440FFB4D" w:rsidR="00CC7463" w:rsidRDefault="00CC7463" w:rsidP="001A60E8">
      <w:pPr>
        <w:pStyle w:val="Heading1"/>
        <w:numPr>
          <w:ilvl w:val="0"/>
          <w:numId w:val="1"/>
        </w:numPr>
        <w:tabs>
          <w:tab w:val="clear" w:pos="720"/>
          <w:tab w:val="num" w:pos="432"/>
        </w:tabs>
        <w:spacing w:line="480" w:lineRule="auto"/>
        <w:jc w:val="both"/>
        <w:rPr>
          <w:sz w:val="24"/>
          <w:szCs w:val="24"/>
        </w:rPr>
      </w:pPr>
      <w:bookmarkStart w:id="9" w:name="_Toc10117666"/>
      <w:r>
        <w:rPr>
          <w:sz w:val="24"/>
          <w:szCs w:val="24"/>
        </w:rPr>
        <w:t>BACKGROUND</w:t>
      </w:r>
      <w:bookmarkEnd w:id="9"/>
    </w:p>
    <w:p w14:paraId="00914DE8" w14:textId="3CB5EACA" w:rsidR="00CC7463" w:rsidRPr="00E30932" w:rsidRDefault="00CC7463" w:rsidP="001A60E8">
      <w:pPr>
        <w:pStyle w:val="BodyTextIndent2"/>
        <w:jc w:val="both"/>
        <w:rPr>
          <w:b/>
          <w:bCs/>
        </w:rPr>
      </w:pPr>
      <w:r>
        <w:rPr>
          <w:b/>
          <w:bCs/>
        </w:rPr>
        <w:t>Q.</w:t>
      </w:r>
      <w:r>
        <w:rPr>
          <w:b/>
          <w:bCs/>
        </w:rPr>
        <w:tab/>
        <w:t xml:space="preserve">Please briefly describe </w:t>
      </w:r>
      <w:r w:rsidR="00BF6BE4">
        <w:rPr>
          <w:b/>
          <w:bCs/>
        </w:rPr>
        <w:t>C</w:t>
      </w:r>
      <w:r w:rsidR="00C26F75">
        <w:rPr>
          <w:b/>
          <w:bCs/>
        </w:rPr>
        <w:t>EHE</w:t>
      </w:r>
      <w:r w:rsidR="00D00020">
        <w:rPr>
          <w:b/>
          <w:bCs/>
        </w:rPr>
        <w:t>.</w:t>
      </w:r>
    </w:p>
    <w:p w14:paraId="682B71FF" w14:textId="4BDEBC25" w:rsidR="00CC7463" w:rsidRDefault="00CC7463" w:rsidP="002D7413">
      <w:pPr>
        <w:pStyle w:val="BodyTextIndent2"/>
        <w:jc w:val="both"/>
      </w:pPr>
      <w:r w:rsidRPr="006A5F0F">
        <w:t>A.</w:t>
      </w:r>
      <w:r w:rsidRPr="006A5F0F">
        <w:tab/>
      </w:r>
      <w:r w:rsidR="002D7413">
        <w:t xml:space="preserve">CEHE </w:t>
      </w:r>
      <w:r w:rsidR="0017091D">
        <w:t xml:space="preserve">is a TDU </w:t>
      </w:r>
      <w:r w:rsidR="00F205B2">
        <w:t xml:space="preserve">operating </w:t>
      </w:r>
      <w:r w:rsidR="0017091D">
        <w:t>in Texas</w:t>
      </w:r>
      <w:r w:rsidR="007A1CF7">
        <w:t xml:space="preserve">. </w:t>
      </w:r>
      <w:r w:rsidR="002630B2">
        <w:t xml:space="preserve"> </w:t>
      </w:r>
      <w:r w:rsidR="007A1CF7">
        <w:t xml:space="preserve">It is </w:t>
      </w:r>
      <w:r w:rsidR="0017091D">
        <w:t xml:space="preserve">a subsidiary of </w:t>
      </w:r>
      <w:r w:rsidR="002D7413">
        <w:t xml:space="preserve">CenterPoint Energy, Inc. </w:t>
      </w:r>
      <w:r w:rsidR="0017091D">
        <w:t>(“</w:t>
      </w:r>
      <w:r w:rsidR="002D7413">
        <w:t>CenterPoint</w:t>
      </w:r>
      <w:r w:rsidR="0017091D">
        <w:t>”</w:t>
      </w:r>
      <w:r w:rsidR="00F205B2">
        <w:t>).</w:t>
      </w:r>
      <w:r w:rsidR="002630B2">
        <w:t xml:space="preserve"> </w:t>
      </w:r>
      <w:r w:rsidR="00F205B2">
        <w:t xml:space="preserve"> </w:t>
      </w:r>
      <w:r w:rsidR="002D7413">
        <w:t>CEHE</w:t>
      </w:r>
      <w:r w:rsidR="0007231B">
        <w:t xml:space="preserve"> </w:t>
      </w:r>
      <w:r w:rsidR="002D7413">
        <w:t xml:space="preserve">serves nearly all of the Houston/Galveston metropolitan area. </w:t>
      </w:r>
      <w:r w:rsidR="00C4522F">
        <w:t xml:space="preserve"> </w:t>
      </w:r>
      <w:r w:rsidR="00FC2A7B">
        <w:t xml:space="preserve">As of </w:t>
      </w:r>
      <w:r w:rsidR="002D7413">
        <w:t xml:space="preserve">December 31, 2018, </w:t>
      </w:r>
      <w:r w:rsidR="004B2B56">
        <w:t>CEHE</w:t>
      </w:r>
      <w:r w:rsidR="002D7413">
        <w:t xml:space="preserve">’s customers consisted of approximately 65 </w:t>
      </w:r>
      <w:r w:rsidR="00F54A7E">
        <w:t>r</w:t>
      </w:r>
      <w:r w:rsidR="001D49C6">
        <w:t xml:space="preserve">etail </w:t>
      </w:r>
      <w:r w:rsidR="00F54A7E">
        <w:t>e</w:t>
      </w:r>
      <w:r w:rsidR="001D49C6">
        <w:t xml:space="preserve">nergy </w:t>
      </w:r>
      <w:r w:rsidR="00F54A7E">
        <w:t>p</w:t>
      </w:r>
      <w:r w:rsidR="001D49C6">
        <w:t>roviders</w:t>
      </w:r>
      <w:r w:rsidR="002D7413">
        <w:t>, which sell electricity to approximately 2.5 million metered customers in Houston.</w:t>
      </w:r>
      <w:r w:rsidR="004318BA">
        <w:rPr>
          <w:rStyle w:val="FootnoteReference"/>
        </w:rPr>
        <w:footnoteReference w:id="7"/>
      </w:r>
    </w:p>
    <w:p w14:paraId="4CA624E1" w14:textId="53A8537D" w:rsidR="008D513D" w:rsidRPr="00E30932" w:rsidRDefault="008D513D" w:rsidP="001A60E8">
      <w:pPr>
        <w:pStyle w:val="BodyTextIndent2"/>
        <w:jc w:val="both"/>
        <w:rPr>
          <w:b/>
          <w:bCs/>
        </w:rPr>
      </w:pPr>
      <w:r>
        <w:rPr>
          <w:b/>
          <w:bCs/>
        </w:rPr>
        <w:t>Q.</w:t>
      </w:r>
      <w:r>
        <w:rPr>
          <w:b/>
          <w:bCs/>
        </w:rPr>
        <w:tab/>
      </w:r>
      <w:r w:rsidR="001177A7">
        <w:rPr>
          <w:b/>
          <w:bCs/>
        </w:rPr>
        <w:t xml:space="preserve">Please briefly describe </w:t>
      </w:r>
      <w:r w:rsidR="00C26F75">
        <w:rPr>
          <w:b/>
          <w:bCs/>
        </w:rPr>
        <w:t>CEHE’s</w:t>
      </w:r>
      <w:r w:rsidR="001177A7">
        <w:rPr>
          <w:b/>
          <w:bCs/>
        </w:rPr>
        <w:t xml:space="preserve"> current credit ratings</w:t>
      </w:r>
      <w:r w:rsidR="004A4E73">
        <w:rPr>
          <w:b/>
          <w:bCs/>
        </w:rPr>
        <w:t>.</w:t>
      </w:r>
    </w:p>
    <w:p w14:paraId="06BDB965" w14:textId="13D6E0B4" w:rsidR="00D30F32" w:rsidRDefault="008D513D" w:rsidP="00D30F32">
      <w:pPr>
        <w:pStyle w:val="BodyTextIndent2"/>
        <w:jc w:val="both"/>
      </w:pPr>
      <w:r w:rsidRPr="006A5F0F">
        <w:t>A.</w:t>
      </w:r>
      <w:r w:rsidRPr="006A5F0F">
        <w:tab/>
      </w:r>
      <w:r w:rsidR="002601D5">
        <w:t xml:space="preserve">CEHE </w:t>
      </w:r>
      <w:r w:rsidR="00CB6471">
        <w:t>has a</w:t>
      </w:r>
      <w:r w:rsidR="00810BD8">
        <w:t xml:space="preserve">n issuer rating of </w:t>
      </w:r>
      <w:r w:rsidR="002601D5">
        <w:t xml:space="preserve">A3 </w:t>
      </w:r>
      <w:r w:rsidR="00CB6471">
        <w:t xml:space="preserve">from </w:t>
      </w:r>
      <w:r w:rsidR="007E30D7">
        <w:t>Moody’s</w:t>
      </w:r>
      <w:r w:rsidR="00810BD8">
        <w:t xml:space="preserve">, A- from Fitch, </w:t>
      </w:r>
      <w:r w:rsidR="008312F2">
        <w:t xml:space="preserve">and </w:t>
      </w:r>
      <w:r w:rsidR="002601D5">
        <w:t xml:space="preserve">BBB+ </w:t>
      </w:r>
      <w:r w:rsidR="00CB6471">
        <w:t xml:space="preserve">from </w:t>
      </w:r>
      <w:r w:rsidR="007E30D7">
        <w:t>S&amp;P</w:t>
      </w:r>
      <w:r w:rsidR="00810BD8">
        <w:t>.</w:t>
      </w:r>
      <w:r w:rsidR="008A7F71">
        <w:rPr>
          <w:rStyle w:val="FootnoteReference"/>
        </w:rPr>
        <w:footnoteReference w:id="8"/>
      </w:r>
      <w:r w:rsidR="00810BD8">
        <w:t xml:space="preserve"> </w:t>
      </w:r>
      <w:r w:rsidR="00C4522F">
        <w:t xml:space="preserve"> </w:t>
      </w:r>
      <w:r w:rsidR="00C306FA">
        <w:t xml:space="preserve">All </w:t>
      </w:r>
      <w:r w:rsidR="0043315C">
        <w:t xml:space="preserve">three </w:t>
      </w:r>
      <w:r w:rsidR="00C306FA">
        <w:t>credit</w:t>
      </w:r>
      <w:r w:rsidR="00D30F32">
        <w:t xml:space="preserve"> </w:t>
      </w:r>
      <w:r w:rsidR="00C306FA">
        <w:t xml:space="preserve">rating agencies assign a stable outlook to CEHE </w:t>
      </w:r>
      <w:r w:rsidR="00685D46">
        <w:t xml:space="preserve">and assign an issuer credit rating in </w:t>
      </w:r>
      <w:r w:rsidR="008312F2">
        <w:t xml:space="preserve">the category of </w:t>
      </w:r>
      <w:r w:rsidR="0043315C">
        <w:t>“</w:t>
      </w:r>
      <w:r w:rsidR="008312F2">
        <w:t>investment grade</w:t>
      </w:r>
      <w:r w:rsidR="00630F82">
        <w:t>.</w:t>
      </w:r>
      <w:r w:rsidR="0043315C">
        <w:t>”</w:t>
      </w:r>
      <w:r w:rsidR="008312F2">
        <w:rPr>
          <w:rStyle w:val="FootnoteReference"/>
        </w:rPr>
        <w:footnoteReference w:id="9"/>
      </w:r>
      <w:r w:rsidR="00685D46">
        <w:t xml:space="preserve"> </w:t>
      </w:r>
      <w:r w:rsidR="008312F2">
        <w:t xml:space="preserve"> </w:t>
      </w:r>
      <w:r w:rsidR="00810BD8">
        <w:t>Moody’s and Fitch</w:t>
      </w:r>
      <w:r w:rsidR="00BF6AD3">
        <w:t>’s</w:t>
      </w:r>
      <w:r w:rsidR="00810BD8">
        <w:t xml:space="preserve"> </w:t>
      </w:r>
      <w:r w:rsidR="00D30F32">
        <w:t xml:space="preserve">issuer </w:t>
      </w:r>
      <w:r w:rsidR="00810BD8">
        <w:t xml:space="preserve">ratings are </w:t>
      </w:r>
      <w:r w:rsidR="002601D5">
        <w:t>fou</w:t>
      </w:r>
      <w:r w:rsidR="00810BD8">
        <w:t>r</w:t>
      </w:r>
      <w:r w:rsidR="002601D5">
        <w:t xml:space="preserve"> notches</w:t>
      </w:r>
      <w:r w:rsidR="00D30F32">
        <w:t xml:space="preserve"> above the highest non-investment-grade rating</w:t>
      </w:r>
      <w:r w:rsidR="00810BD8">
        <w:t xml:space="preserve">, and S&amp;P’s </w:t>
      </w:r>
      <w:r w:rsidR="00D30F32">
        <w:t xml:space="preserve">issuer </w:t>
      </w:r>
      <w:r w:rsidR="00810BD8">
        <w:t xml:space="preserve">rating is three notches </w:t>
      </w:r>
      <w:r w:rsidR="002601D5">
        <w:t xml:space="preserve">above </w:t>
      </w:r>
      <w:r w:rsidR="00D30F32">
        <w:t>it.</w:t>
      </w:r>
    </w:p>
    <w:p w14:paraId="7C1E163C" w14:textId="0B4D5ACA" w:rsidR="00685D46" w:rsidRDefault="00D30F32" w:rsidP="00D30F32">
      <w:pPr>
        <w:pStyle w:val="BodyTextIndent2"/>
        <w:jc w:val="both"/>
      </w:pPr>
      <w:r>
        <w:tab/>
      </w:r>
      <w:r>
        <w:tab/>
      </w:r>
      <w:r w:rsidR="005D5D8F">
        <w:t xml:space="preserve">Additionally, </w:t>
      </w:r>
      <w:r w:rsidR="00D97737">
        <w:t xml:space="preserve">CEHE’s most recent bond issuance of $700 million was rated A1 by Moody’s, </w:t>
      </w:r>
      <w:r w:rsidR="00D76F88">
        <w:t xml:space="preserve">A+ by Fitch, and </w:t>
      </w:r>
      <w:r w:rsidR="008312F2">
        <w:t xml:space="preserve">A </w:t>
      </w:r>
      <w:r w:rsidR="00973900">
        <w:t>by</w:t>
      </w:r>
      <w:r w:rsidR="008312F2">
        <w:t xml:space="preserve"> S&amp;P.</w:t>
      </w:r>
      <w:r w:rsidR="004F544B">
        <w:t xml:space="preserve"> </w:t>
      </w:r>
      <w:r w:rsidR="00685D46">
        <w:t xml:space="preserve"> </w:t>
      </w:r>
      <w:r w:rsidR="008312F2">
        <w:t>Moody’s and Fitch’s bond issuance ratings are six notches</w:t>
      </w:r>
      <w:r w:rsidR="002E3DC8" w:rsidRPr="002E3DC8">
        <w:t xml:space="preserve"> </w:t>
      </w:r>
      <w:r w:rsidR="002E3DC8">
        <w:t>above the highest non-investment</w:t>
      </w:r>
      <w:r w:rsidR="00520DE0">
        <w:t>-</w:t>
      </w:r>
      <w:r w:rsidR="002E3DC8">
        <w:t>grade rating</w:t>
      </w:r>
      <w:r w:rsidR="008312F2">
        <w:t>, and S&amp;P’s bond issuance rating is five notches</w:t>
      </w:r>
      <w:r w:rsidR="002E3DC8">
        <w:t xml:space="preserve"> above</w:t>
      </w:r>
      <w:r w:rsidR="002663B1">
        <w:t xml:space="preserve"> it</w:t>
      </w:r>
      <w:r w:rsidR="002E3DC8">
        <w:t>.</w:t>
      </w:r>
    </w:p>
    <w:p w14:paraId="519B555E" w14:textId="2BBD10ED" w:rsidR="00757F18" w:rsidRPr="0088510E" w:rsidRDefault="00757F18" w:rsidP="00757F18">
      <w:pPr>
        <w:pStyle w:val="question"/>
      </w:pPr>
      <w:r>
        <w:t>Q.</w:t>
      </w:r>
      <w:r>
        <w:tab/>
        <w:t>What does it mean to say that a bond issuance has an investment</w:t>
      </w:r>
      <w:r w:rsidR="00520DE0">
        <w:t>-</w:t>
      </w:r>
      <w:r>
        <w:t>grade rating?</w:t>
      </w:r>
    </w:p>
    <w:p w14:paraId="4F26C5F9" w14:textId="19237EBD" w:rsidR="00757F18" w:rsidRDefault="00757F18" w:rsidP="00757F18">
      <w:pPr>
        <w:pStyle w:val="answer"/>
        <w:tabs>
          <w:tab w:val="clear" w:pos="-3420"/>
          <w:tab w:val="clear" w:pos="360"/>
          <w:tab w:val="left" w:pos="720"/>
        </w:tabs>
        <w:spacing w:after="0"/>
        <w:ind w:right="0"/>
      </w:pPr>
      <w:r>
        <w:t>A.</w:t>
      </w:r>
      <w:r>
        <w:tab/>
        <w:t xml:space="preserve">Bond credit ratings communicate information </w:t>
      </w:r>
      <w:r w:rsidR="00520DE0">
        <w:t xml:space="preserve">to the investment community </w:t>
      </w:r>
      <w:r>
        <w:t>about risks associated with particular bond investments.  An investment</w:t>
      </w:r>
      <w:r w:rsidR="0078782D">
        <w:t>-</w:t>
      </w:r>
      <w:r>
        <w:t xml:space="preserve">grade rating for a corporate (or municipal) bond issuance is one for which there is </w:t>
      </w:r>
      <w:r w:rsidR="002663B1">
        <w:t xml:space="preserve">a </w:t>
      </w:r>
      <w:r>
        <w:t>relatively lower risk of default on repayment, thus making the bond an attractive investment.  Bond issuances that do not receive an investment</w:t>
      </w:r>
      <w:r w:rsidR="00C55400">
        <w:t>-</w:t>
      </w:r>
      <w:r>
        <w:t>grade rating</w:t>
      </w:r>
      <w:r w:rsidR="00C55400">
        <w:t xml:space="preserve"> </w:t>
      </w:r>
      <w:r>
        <w:t>are considered lower</w:t>
      </w:r>
      <w:r w:rsidR="00C55400">
        <w:t>-</w:t>
      </w:r>
      <w:r>
        <w:t xml:space="preserve">quality bonds </w:t>
      </w:r>
      <w:r w:rsidR="00C55400">
        <w:t>for</w:t>
      </w:r>
      <w:r>
        <w:t xml:space="preserve"> which the risk of default is relatively greater than </w:t>
      </w:r>
      <w:r w:rsidR="00C55400">
        <w:t xml:space="preserve">that of </w:t>
      </w:r>
      <w:r>
        <w:t>investment</w:t>
      </w:r>
      <w:r w:rsidR="00C55400">
        <w:t>-</w:t>
      </w:r>
      <w:r>
        <w:t>grade bonds; such bonds are often referred to as “junk bonds.”</w:t>
      </w:r>
    </w:p>
    <w:p w14:paraId="2EED9E98" w14:textId="7C549402" w:rsidR="00757F18" w:rsidRPr="00215BC6" w:rsidRDefault="00757F18" w:rsidP="00757F18">
      <w:pPr>
        <w:pStyle w:val="answer"/>
        <w:tabs>
          <w:tab w:val="clear" w:pos="-3420"/>
          <w:tab w:val="clear" w:pos="360"/>
          <w:tab w:val="left" w:pos="720"/>
        </w:tabs>
        <w:spacing w:after="0"/>
        <w:ind w:right="0"/>
      </w:pPr>
      <w:r>
        <w:tab/>
      </w:r>
      <w:r>
        <w:tab/>
        <w:t>Investment</w:t>
      </w:r>
      <w:r w:rsidR="00C55400">
        <w:t>-</w:t>
      </w:r>
      <w:r>
        <w:t>grade ratings are important because, among other reasons, it is common for large institutional investors (</w:t>
      </w:r>
      <w:r w:rsidR="00C55400">
        <w:t xml:space="preserve">e.g., </w:t>
      </w:r>
      <w:r>
        <w:t xml:space="preserve">pension funds, insurance companies, banks) to have investment policies that require a significant portion or even all of their bond investments to </w:t>
      </w:r>
      <w:r w:rsidR="00C55400">
        <w:t xml:space="preserve">have </w:t>
      </w:r>
      <w:r>
        <w:t>investment</w:t>
      </w:r>
      <w:r w:rsidR="00C55400">
        <w:t>-</w:t>
      </w:r>
      <w:r>
        <w:t>grade</w:t>
      </w:r>
      <w:r w:rsidR="00C55400">
        <w:t xml:space="preserve"> ratings</w:t>
      </w:r>
      <w:r>
        <w:t xml:space="preserve">. </w:t>
      </w:r>
      <w:r>
        <w:tab/>
      </w:r>
      <w:r>
        <w:tab/>
      </w:r>
    </w:p>
    <w:p w14:paraId="1DFBA697" w14:textId="2F1C60CE" w:rsidR="009F5D11" w:rsidRPr="009F5D11" w:rsidRDefault="009F5D11" w:rsidP="009F5D11">
      <w:pPr>
        <w:pStyle w:val="BodyTextIndent2"/>
        <w:jc w:val="both"/>
        <w:rPr>
          <w:b/>
          <w:bCs/>
        </w:rPr>
      </w:pPr>
      <w:r w:rsidRPr="009F5D11">
        <w:rPr>
          <w:b/>
          <w:bCs/>
        </w:rPr>
        <w:t>Q.</w:t>
      </w:r>
      <w:r w:rsidRPr="009F5D11">
        <w:rPr>
          <w:b/>
          <w:bCs/>
        </w:rPr>
        <w:tab/>
      </w:r>
      <w:r w:rsidR="00B11149">
        <w:rPr>
          <w:b/>
          <w:bCs/>
        </w:rPr>
        <w:t xml:space="preserve">Does your </w:t>
      </w:r>
      <w:r w:rsidR="00B11149" w:rsidRPr="00B11149">
        <w:rPr>
          <w:b/>
          <w:bCs/>
        </w:rPr>
        <w:t>recommended return on i</w:t>
      </w:r>
      <w:r w:rsidR="00B11149">
        <w:rPr>
          <w:b/>
          <w:bCs/>
        </w:rPr>
        <w:t xml:space="preserve">nvested capital take into account that </w:t>
      </w:r>
      <w:r w:rsidR="00EB2C10">
        <w:rPr>
          <w:b/>
          <w:bCs/>
        </w:rPr>
        <w:t>the Company</w:t>
      </w:r>
      <w:r w:rsidR="00B11149">
        <w:rPr>
          <w:b/>
          <w:bCs/>
        </w:rPr>
        <w:t xml:space="preserve"> has investment</w:t>
      </w:r>
      <w:r w:rsidR="00E37B3A">
        <w:rPr>
          <w:b/>
          <w:bCs/>
        </w:rPr>
        <w:t>-</w:t>
      </w:r>
      <w:r w:rsidR="00B11149">
        <w:rPr>
          <w:b/>
          <w:bCs/>
        </w:rPr>
        <w:t>grade rating</w:t>
      </w:r>
      <w:r w:rsidR="00EB2C10">
        <w:rPr>
          <w:b/>
          <w:bCs/>
        </w:rPr>
        <w:t>s</w:t>
      </w:r>
      <w:r w:rsidRPr="009F5D11">
        <w:rPr>
          <w:b/>
          <w:bCs/>
        </w:rPr>
        <w:t>?</w:t>
      </w:r>
    </w:p>
    <w:p w14:paraId="5A32B044" w14:textId="2537A878" w:rsidR="009F5D11" w:rsidRDefault="009F5D11" w:rsidP="009F5D11">
      <w:pPr>
        <w:pStyle w:val="answer"/>
        <w:tabs>
          <w:tab w:val="clear" w:pos="-3420"/>
          <w:tab w:val="clear" w:pos="360"/>
          <w:tab w:val="left" w:pos="720"/>
        </w:tabs>
        <w:spacing w:after="0"/>
        <w:ind w:right="0"/>
      </w:pPr>
      <w:r w:rsidRPr="009F5D11">
        <w:t>A.</w:t>
      </w:r>
      <w:r w:rsidRPr="009F5D11">
        <w:tab/>
      </w:r>
      <w:r w:rsidR="00B11149">
        <w:t>Yes</w:t>
      </w:r>
      <w:r w:rsidR="002663B1">
        <w:t>. A</w:t>
      </w:r>
      <w:r w:rsidR="00B11149" w:rsidRPr="00B11149">
        <w:t>s explained later in my t</w:t>
      </w:r>
      <w:r w:rsidR="00EE32E5">
        <w:t>estimony, I have excluded from m</w:t>
      </w:r>
      <w:r w:rsidR="002663B1">
        <w:t>y group of comparable companies</w:t>
      </w:r>
      <w:r w:rsidR="00EE32E5">
        <w:t xml:space="preserve"> </w:t>
      </w:r>
      <w:r w:rsidR="00B11149" w:rsidRPr="00B11149">
        <w:t>any utilities that do not have investment</w:t>
      </w:r>
      <w:r w:rsidR="008071CB">
        <w:t>-</w:t>
      </w:r>
      <w:r w:rsidR="00B11149" w:rsidRPr="00B11149">
        <w:t xml:space="preserve">grade ratings.  Such utilities would not be good substitutes for estimating the </w:t>
      </w:r>
      <w:r w:rsidR="007A299D">
        <w:t>return o</w:t>
      </w:r>
      <w:r w:rsidR="00907166">
        <w:t>n</w:t>
      </w:r>
      <w:r w:rsidR="007A299D">
        <w:t xml:space="preserve"> investment capital </w:t>
      </w:r>
      <w:r w:rsidR="00B11149">
        <w:t>for CEHE</w:t>
      </w:r>
      <w:r w:rsidR="00B11149" w:rsidRPr="00B11149">
        <w:t xml:space="preserve"> in this proceeding.</w:t>
      </w:r>
    </w:p>
    <w:p w14:paraId="5C0F1D4B" w14:textId="40704F61" w:rsidR="005B0007" w:rsidRPr="005B0007" w:rsidRDefault="00471717" w:rsidP="005B0007">
      <w:pPr>
        <w:pStyle w:val="Heading1"/>
        <w:numPr>
          <w:ilvl w:val="0"/>
          <w:numId w:val="1"/>
        </w:numPr>
        <w:spacing w:line="480" w:lineRule="auto"/>
        <w:jc w:val="both"/>
        <w:rPr>
          <w:sz w:val="24"/>
          <w:szCs w:val="24"/>
        </w:rPr>
      </w:pPr>
      <w:bookmarkStart w:id="10" w:name="_Toc10117667"/>
      <w:bookmarkStart w:id="11" w:name="_Toc15351344"/>
      <w:bookmarkStart w:id="12" w:name="_Toc394561928"/>
      <w:r>
        <w:rPr>
          <w:sz w:val="24"/>
          <w:szCs w:val="24"/>
        </w:rPr>
        <w:t>COST OF EQUITY</w:t>
      </w:r>
      <w:bookmarkEnd w:id="10"/>
    </w:p>
    <w:p w14:paraId="6FF4A034" w14:textId="5DCE1774" w:rsidR="00573B33" w:rsidRPr="00FB1AFB" w:rsidRDefault="005B0007" w:rsidP="00D9384D">
      <w:pPr>
        <w:pStyle w:val="Heading2"/>
        <w:numPr>
          <w:ilvl w:val="0"/>
          <w:numId w:val="19"/>
        </w:numPr>
      </w:pPr>
      <w:bookmarkStart w:id="13" w:name="_Toc10117668"/>
      <w:r w:rsidRPr="00FB1AFB">
        <w:t>PRINCIPLES UNDERLYING COST OF EQUITY</w:t>
      </w:r>
      <w:bookmarkEnd w:id="13"/>
    </w:p>
    <w:p w14:paraId="791B5498" w14:textId="4E9DBD03" w:rsidR="00934649" w:rsidRPr="00E30932" w:rsidRDefault="00934649" w:rsidP="001B42C5">
      <w:pPr>
        <w:pStyle w:val="BodyTextIndent2"/>
        <w:jc w:val="both"/>
        <w:rPr>
          <w:b/>
          <w:bCs/>
        </w:rPr>
      </w:pPr>
      <w:r w:rsidRPr="00E30932">
        <w:rPr>
          <w:b/>
          <w:bCs/>
        </w:rPr>
        <w:t>Q.</w:t>
      </w:r>
      <w:r w:rsidRPr="00E30932">
        <w:rPr>
          <w:b/>
          <w:bCs/>
        </w:rPr>
        <w:tab/>
      </w:r>
      <w:r w:rsidR="005B0007" w:rsidRPr="005B0007">
        <w:rPr>
          <w:b/>
          <w:bCs/>
        </w:rPr>
        <w:t>Please provide your understanding of the legal guidelines for determin</w:t>
      </w:r>
      <w:r w:rsidR="005830F6">
        <w:rPr>
          <w:b/>
          <w:bCs/>
        </w:rPr>
        <w:t>ing</w:t>
      </w:r>
      <w:r w:rsidR="005B0007" w:rsidRPr="005B0007">
        <w:rPr>
          <w:b/>
          <w:bCs/>
        </w:rPr>
        <w:t xml:space="preserve"> the cost of equity.</w:t>
      </w:r>
    </w:p>
    <w:p w14:paraId="71E96382" w14:textId="77777777" w:rsidR="00C771E5" w:rsidRDefault="00B00678" w:rsidP="001B42C5">
      <w:pPr>
        <w:pStyle w:val="BodyTextIndent2"/>
        <w:jc w:val="both"/>
        <w:rPr>
          <w:szCs w:val="24"/>
        </w:rPr>
      </w:pPr>
      <w:r>
        <w:rPr>
          <w:szCs w:val="24"/>
        </w:rPr>
        <w:t>A.</w:t>
      </w:r>
      <w:r>
        <w:rPr>
          <w:szCs w:val="24"/>
        </w:rPr>
        <w:tab/>
      </w:r>
      <w:r w:rsidR="006F4F12" w:rsidRPr="006F4F12">
        <w:rPr>
          <w:szCs w:val="24"/>
        </w:rPr>
        <w:t xml:space="preserve">The general framework for evaluating the cost of equity for regulated utilities is based on two decisions of the U.S. Supreme Court. </w:t>
      </w:r>
    </w:p>
    <w:p w14:paraId="5B7D2B3F" w14:textId="5DE45455" w:rsidR="006F4F12" w:rsidRPr="006F4F12" w:rsidRDefault="00C771E5" w:rsidP="001B42C5">
      <w:pPr>
        <w:pStyle w:val="BodyTextIndent2"/>
        <w:jc w:val="both"/>
        <w:rPr>
          <w:szCs w:val="24"/>
        </w:rPr>
      </w:pPr>
      <w:r>
        <w:rPr>
          <w:szCs w:val="24"/>
        </w:rPr>
        <w:tab/>
      </w:r>
      <w:r w:rsidR="006F4F12" w:rsidRPr="006F4F12">
        <w:rPr>
          <w:szCs w:val="24"/>
        </w:rPr>
        <w:t xml:space="preserve">In </w:t>
      </w:r>
      <w:r w:rsidR="006F4F12" w:rsidRPr="006F4F12">
        <w:rPr>
          <w:i/>
          <w:szCs w:val="24"/>
        </w:rPr>
        <w:t>Bluefield</w:t>
      </w:r>
      <w:r w:rsidR="00C74136">
        <w:rPr>
          <w:i/>
          <w:szCs w:val="24"/>
        </w:rPr>
        <w:t>,</w:t>
      </w:r>
      <w:r w:rsidR="001648F9">
        <w:rPr>
          <w:i/>
          <w:szCs w:val="24"/>
        </w:rPr>
        <w:t xml:space="preserve"> </w:t>
      </w:r>
      <w:r w:rsidR="006F4F12" w:rsidRPr="006F4F12">
        <w:rPr>
          <w:szCs w:val="24"/>
        </w:rPr>
        <w:t xml:space="preserve">the </w:t>
      </w:r>
      <w:r w:rsidR="00B537AB">
        <w:rPr>
          <w:szCs w:val="24"/>
        </w:rPr>
        <w:t>C</w:t>
      </w:r>
      <w:r w:rsidR="006F4F12" w:rsidRPr="006F4F12">
        <w:rPr>
          <w:szCs w:val="24"/>
        </w:rPr>
        <w:t>ourt stated:</w:t>
      </w:r>
    </w:p>
    <w:p w14:paraId="6BF10080" w14:textId="62F10988" w:rsidR="006F4F12" w:rsidRPr="006F4F12" w:rsidRDefault="006F4F12" w:rsidP="00E5386C">
      <w:pPr>
        <w:spacing w:after="240"/>
        <w:ind w:left="1440" w:right="1008"/>
        <w:jc w:val="both"/>
        <w:rPr>
          <w:sz w:val="24"/>
          <w:szCs w:val="24"/>
        </w:rPr>
      </w:pPr>
      <w:r w:rsidRPr="006F4F12">
        <w:rPr>
          <w:sz w:val="24"/>
          <w:szCs w:val="24"/>
        </w:rPr>
        <w:t>The return should be reasonably sufficient to assure confidence in the financial soundness of the utility and should be adequate, under efficient and economical management, to maintain and support its credit and enable it to raise the money necessary for the proper discharge of its public duties.</w:t>
      </w:r>
      <w:r w:rsidR="00B537AB">
        <w:rPr>
          <w:rStyle w:val="FootnoteReference"/>
          <w:sz w:val="24"/>
          <w:szCs w:val="24"/>
        </w:rPr>
        <w:footnoteReference w:id="10"/>
      </w:r>
    </w:p>
    <w:p w14:paraId="6590E4D4" w14:textId="77777777" w:rsidR="00C771E5" w:rsidRDefault="006F4F12" w:rsidP="005573FF">
      <w:pPr>
        <w:pStyle w:val="BodyTextIndent2"/>
        <w:spacing w:before="120"/>
        <w:ind w:firstLine="0"/>
        <w:jc w:val="both"/>
        <w:rPr>
          <w:szCs w:val="24"/>
        </w:rPr>
      </w:pPr>
      <w:r w:rsidRPr="006F4F12">
        <w:rPr>
          <w:szCs w:val="24"/>
        </w:rPr>
        <w:t xml:space="preserve">This decision established financial integrity and capital attraction as standards to be met in setting the rate of return.  </w:t>
      </w:r>
    </w:p>
    <w:p w14:paraId="17AD2EEE" w14:textId="7FC4FAC4" w:rsidR="006F4F12" w:rsidRPr="006F4F12" w:rsidRDefault="006F4F12" w:rsidP="005573FF">
      <w:pPr>
        <w:pStyle w:val="BodyTextIndent2"/>
        <w:spacing w:before="120"/>
        <w:ind w:firstLine="0"/>
        <w:jc w:val="both"/>
        <w:rPr>
          <w:szCs w:val="24"/>
        </w:rPr>
      </w:pPr>
      <w:r w:rsidRPr="006F4F12">
        <w:rPr>
          <w:szCs w:val="24"/>
        </w:rPr>
        <w:t>In</w:t>
      </w:r>
      <w:r w:rsidR="00451188">
        <w:rPr>
          <w:szCs w:val="24"/>
        </w:rPr>
        <w:t xml:space="preserve"> </w:t>
      </w:r>
      <w:r w:rsidRPr="00887B1F">
        <w:rPr>
          <w:i/>
          <w:szCs w:val="24"/>
        </w:rPr>
        <w:t>Hope</w:t>
      </w:r>
      <w:r w:rsidRPr="006F4F12">
        <w:rPr>
          <w:szCs w:val="24"/>
        </w:rPr>
        <w:t xml:space="preserve">, the </w:t>
      </w:r>
      <w:r w:rsidR="00B537AB">
        <w:rPr>
          <w:szCs w:val="24"/>
        </w:rPr>
        <w:t>C</w:t>
      </w:r>
      <w:r w:rsidRPr="006F4F12">
        <w:rPr>
          <w:szCs w:val="24"/>
        </w:rPr>
        <w:t>ourt stated:</w:t>
      </w:r>
    </w:p>
    <w:p w14:paraId="69EE20D2" w14:textId="24B20F66" w:rsidR="006F4F12" w:rsidRPr="006F4F12" w:rsidRDefault="006F4F12" w:rsidP="00E16872">
      <w:pPr>
        <w:pStyle w:val="answer"/>
        <w:tabs>
          <w:tab w:val="clear" w:pos="-3420"/>
          <w:tab w:val="clear" w:pos="360"/>
          <w:tab w:val="left" w:pos="720"/>
        </w:tabs>
        <w:spacing w:line="240" w:lineRule="auto"/>
        <w:ind w:left="1440" w:right="1080" w:firstLine="0"/>
      </w:pPr>
      <w:r w:rsidRPr="006F4F12">
        <w:t>The return to the equity owner should be commensurate with returns on investment</w:t>
      </w:r>
      <w:r w:rsidR="005B3398">
        <w:t>s</w:t>
      </w:r>
      <w:r w:rsidRPr="006F4F12">
        <w:t xml:space="preserve"> in other enterprises having corresponding risks. </w:t>
      </w:r>
      <w:r w:rsidR="00AE6DE7">
        <w:t xml:space="preserve"> </w:t>
      </w:r>
      <w:r w:rsidRPr="006F4F12">
        <w:t>That return, moreover, should be sufficient to assure confidence in the financial integrity of the enterprise so as to maintain its credit and to attract capital.</w:t>
      </w:r>
      <w:r w:rsidR="00B537AB">
        <w:rPr>
          <w:rStyle w:val="FootnoteReference"/>
        </w:rPr>
        <w:footnoteReference w:id="11"/>
      </w:r>
    </w:p>
    <w:p w14:paraId="288953E4" w14:textId="40113625" w:rsidR="00934649" w:rsidRPr="00580FF1" w:rsidRDefault="006F4F12" w:rsidP="001B42C5">
      <w:pPr>
        <w:pStyle w:val="BodyTextIndent2"/>
        <w:spacing w:after="120"/>
        <w:ind w:firstLine="0"/>
        <w:jc w:val="both"/>
        <w:rPr>
          <w:szCs w:val="24"/>
        </w:rPr>
      </w:pPr>
      <w:r w:rsidRPr="006F4F12">
        <w:rPr>
          <w:szCs w:val="24"/>
        </w:rPr>
        <w:t xml:space="preserve">This decision reinforced the standards of financial integrity and capital attraction, and it further established the standard of setting a return on equity that is commensurate with the risks faced by the equity investor.  From a financial perspective, investors in a utility must be given </w:t>
      </w:r>
      <w:r w:rsidR="006C0B62">
        <w:rPr>
          <w:szCs w:val="24"/>
        </w:rPr>
        <w:t>a reasonable</w:t>
      </w:r>
      <w:r w:rsidR="006C0B62" w:rsidRPr="006F4F12">
        <w:rPr>
          <w:szCs w:val="24"/>
        </w:rPr>
        <w:t xml:space="preserve"> </w:t>
      </w:r>
      <w:r w:rsidRPr="006F4F12">
        <w:rPr>
          <w:szCs w:val="24"/>
        </w:rPr>
        <w:t>opportunity to recover their reasonable capital costs, including a reasonable return on equity.</w:t>
      </w:r>
    </w:p>
    <w:p w14:paraId="56CC3328" w14:textId="4CF7532C" w:rsidR="00580FF1" w:rsidRPr="00B00678" w:rsidRDefault="00B00678" w:rsidP="001B42C5">
      <w:pPr>
        <w:pStyle w:val="BodyTextIndent2"/>
        <w:rPr>
          <w:b/>
          <w:bCs/>
        </w:rPr>
      </w:pPr>
      <w:r>
        <w:rPr>
          <w:b/>
          <w:bCs/>
        </w:rPr>
        <w:t>Q.</w:t>
      </w:r>
      <w:r>
        <w:rPr>
          <w:b/>
          <w:bCs/>
        </w:rPr>
        <w:tab/>
      </w:r>
      <w:r w:rsidR="00580FF1" w:rsidRPr="00B00678">
        <w:rPr>
          <w:b/>
          <w:bCs/>
        </w:rPr>
        <w:t xml:space="preserve">Did these court decisions address the specific methods by which </w:t>
      </w:r>
      <w:r w:rsidRPr="00B00678">
        <w:rPr>
          <w:b/>
          <w:bCs/>
        </w:rPr>
        <w:t xml:space="preserve">return on equity </w:t>
      </w:r>
      <w:r w:rsidR="00580FF1" w:rsidRPr="00B00678">
        <w:rPr>
          <w:b/>
          <w:bCs/>
        </w:rPr>
        <w:t>should be determined?</w:t>
      </w:r>
    </w:p>
    <w:p w14:paraId="72D36A62" w14:textId="18EDB7F4" w:rsidR="00580FF1" w:rsidRPr="0088510E" w:rsidRDefault="001B42C5" w:rsidP="001B42C5">
      <w:pPr>
        <w:pStyle w:val="BodyTextIndent2"/>
        <w:spacing w:after="120"/>
        <w:jc w:val="both"/>
      </w:pPr>
      <w:r>
        <w:t>A.</w:t>
      </w:r>
      <w:r>
        <w:tab/>
      </w:r>
      <w:r w:rsidR="00580FF1" w:rsidRPr="0088510E">
        <w:t>No</w:t>
      </w:r>
      <w:r w:rsidR="00580FF1">
        <w:t xml:space="preserve">.  </w:t>
      </w:r>
      <w:r w:rsidR="00580FF1" w:rsidRPr="0088510E">
        <w:t xml:space="preserve">Although the court decisions were helpful in establishing a general framework for evaluation, </w:t>
      </w:r>
      <w:r w:rsidR="00580FF1">
        <w:t xml:space="preserve">they </w:t>
      </w:r>
      <w:r w:rsidR="00A30FC4">
        <w:t>did not</w:t>
      </w:r>
      <w:r w:rsidR="00580FF1">
        <w:t xml:space="preserve"> specify</w:t>
      </w:r>
      <w:r w:rsidR="00580FF1" w:rsidRPr="0088510E">
        <w:t xml:space="preserve"> particular methods </w:t>
      </w:r>
      <w:r w:rsidR="00983D63">
        <w:t>for determining return on equity</w:t>
      </w:r>
      <w:r w:rsidR="00580FF1">
        <w:t xml:space="preserve">.  </w:t>
      </w:r>
      <w:r w:rsidR="00580FF1" w:rsidRPr="0088510E">
        <w:t xml:space="preserve">As a consequence, various techniques have been used </w:t>
      </w:r>
      <w:r w:rsidR="00983D63">
        <w:t xml:space="preserve">to determine </w:t>
      </w:r>
      <w:r w:rsidR="00580FF1" w:rsidRPr="0088510E">
        <w:t>cost of equity</w:t>
      </w:r>
      <w:r w:rsidR="00580FF1">
        <w:t xml:space="preserve">.  </w:t>
      </w:r>
      <w:r w:rsidR="00580FF1" w:rsidRPr="0088510E">
        <w:t xml:space="preserve">These techniques continue to evolve as new financial theories are </w:t>
      </w:r>
      <w:r w:rsidR="00304FAB">
        <w:t>proposed</w:t>
      </w:r>
      <w:r w:rsidR="00580FF1" w:rsidRPr="0088510E">
        <w:t xml:space="preserve"> and the understanding of capital markets improves.</w:t>
      </w:r>
    </w:p>
    <w:p w14:paraId="3C1001DB" w14:textId="4CD76CE0" w:rsidR="00471717" w:rsidRPr="00B00678" w:rsidRDefault="00471717" w:rsidP="001B42C5">
      <w:pPr>
        <w:pStyle w:val="BodyTextIndent2"/>
        <w:jc w:val="both"/>
        <w:rPr>
          <w:b/>
          <w:bCs/>
        </w:rPr>
      </w:pPr>
      <w:r w:rsidRPr="00B00678">
        <w:rPr>
          <w:b/>
          <w:bCs/>
        </w:rPr>
        <w:t>Q.</w:t>
      </w:r>
      <w:r w:rsidRPr="00B00678">
        <w:rPr>
          <w:b/>
          <w:bCs/>
        </w:rPr>
        <w:tab/>
      </w:r>
      <w:r w:rsidR="00907AB9" w:rsidRPr="00B00678">
        <w:rPr>
          <w:b/>
          <w:bCs/>
        </w:rPr>
        <w:t xml:space="preserve">What ultimately determines </w:t>
      </w:r>
      <w:r w:rsidR="006D7496">
        <w:rPr>
          <w:b/>
          <w:bCs/>
        </w:rPr>
        <w:t xml:space="preserve">the </w:t>
      </w:r>
      <w:r w:rsidR="00907AB9" w:rsidRPr="00B00678">
        <w:rPr>
          <w:b/>
          <w:bCs/>
        </w:rPr>
        <w:t>required return on equity?</w:t>
      </w:r>
    </w:p>
    <w:p w14:paraId="6D74936B" w14:textId="67CCB4BC" w:rsidR="00471717" w:rsidRDefault="00B00678" w:rsidP="001B42C5">
      <w:pPr>
        <w:pStyle w:val="BodyTextIndent2"/>
        <w:spacing w:after="120"/>
        <w:jc w:val="both"/>
      </w:pPr>
      <w:r>
        <w:t>A.</w:t>
      </w:r>
      <w:r>
        <w:tab/>
      </w:r>
      <w:r w:rsidR="00907AB9">
        <w:t>Ultimately</w:t>
      </w:r>
      <w:r w:rsidR="00593053">
        <w:t>,</w:t>
      </w:r>
      <w:r w:rsidR="00907AB9">
        <w:t xml:space="preserve"> capital markets determine the</w:t>
      </w:r>
      <w:r w:rsidR="00907AB9" w:rsidRPr="0088510E">
        <w:t xml:space="preserve"> required </w:t>
      </w:r>
      <w:r w:rsidR="00907AB9">
        <w:t>return on equity</w:t>
      </w:r>
      <w:r w:rsidR="00907AB9" w:rsidRPr="0088510E">
        <w:t xml:space="preserve"> for an electric utility or for any publicly traded company</w:t>
      </w:r>
      <w:r w:rsidR="00907AB9">
        <w:t xml:space="preserve">.  </w:t>
      </w:r>
      <w:r w:rsidR="0078507C">
        <w:t>T</w:t>
      </w:r>
      <w:r w:rsidR="0078507C" w:rsidRPr="0088510E">
        <w:t>he company</w:t>
      </w:r>
      <w:r w:rsidR="0078507C">
        <w:t>’</w:t>
      </w:r>
      <w:r w:rsidR="0078507C" w:rsidRPr="0088510E">
        <w:t>s equity cost</w:t>
      </w:r>
      <w:r w:rsidR="0078507C">
        <w:t xml:space="preserve">, </w:t>
      </w:r>
      <w:r w:rsidR="005043E6">
        <w:t>i.e.,</w:t>
      </w:r>
      <w:r w:rsidR="0078507C" w:rsidRPr="0088510E">
        <w:t xml:space="preserve"> the required </w:t>
      </w:r>
      <w:r w:rsidR="0078507C">
        <w:t>return on equity (ROE),</w:t>
      </w:r>
      <w:r w:rsidR="0078507C" w:rsidRPr="0088510E">
        <w:t xml:space="preserve"> is established</w:t>
      </w:r>
      <w:r w:rsidR="0078507C">
        <w:t xml:space="preserve"> t</w:t>
      </w:r>
      <w:r w:rsidR="00907AB9" w:rsidRPr="0088510E">
        <w:t>hrough the interaction</w:t>
      </w:r>
      <w:r w:rsidR="00C54D91">
        <w:t>s</w:t>
      </w:r>
      <w:r w:rsidR="00907AB9" w:rsidRPr="0088510E">
        <w:t xml:space="preserve"> of buyers and sellers of </w:t>
      </w:r>
      <w:r w:rsidR="00C54D91">
        <w:t>the</w:t>
      </w:r>
      <w:r w:rsidR="00907AB9" w:rsidRPr="0088510E">
        <w:t xml:space="preserve"> company</w:t>
      </w:r>
      <w:r w:rsidR="00907AB9">
        <w:t>’</w:t>
      </w:r>
      <w:r w:rsidR="00907AB9" w:rsidRPr="0088510E">
        <w:t>s common stock</w:t>
      </w:r>
      <w:r w:rsidR="00C54D91">
        <w:t xml:space="preserve">. </w:t>
      </w:r>
      <w:r w:rsidR="00907AB9">
        <w:t xml:space="preserve"> </w:t>
      </w:r>
      <w:r w:rsidR="00907AB9" w:rsidRPr="0088510E">
        <w:t xml:space="preserve">Given the market price </w:t>
      </w:r>
      <w:r w:rsidR="00907AB9">
        <w:t>for a share of common stock, a financial</w:t>
      </w:r>
      <w:r w:rsidR="00907AB9" w:rsidRPr="0088510E">
        <w:t xml:space="preserve"> analyst desiring to measure the cost of equity must accurately </w:t>
      </w:r>
      <w:r w:rsidR="00907AB9">
        <w:t xml:space="preserve">assess </w:t>
      </w:r>
      <w:r w:rsidR="00907AB9" w:rsidRPr="0088510E">
        <w:t>investor expectations for the company in question</w:t>
      </w:r>
      <w:r w:rsidR="00907AB9">
        <w:t>,</w:t>
      </w:r>
      <w:r w:rsidR="00907AB9" w:rsidRPr="0088510E">
        <w:t xml:space="preserve"> or for a group of comparable </w:t>
      </w:r>
      <w:r w:rsidR="00907AB9">
        <w:t>companies,</w:t>
      </w:r>
      <w:r w:rsidR="00907AB9" w:rsidRPr="0088510E">
        <w:t xml:space="preserve"> or for both</w:t>
      </w:r>
      <w:r w:rsidR="00907AB9">
        <w:t xml:space="preserve">.  Data generated by stock exchanges and </w:t>
      </w:r>
      <w:r w:rsidR="00562272">
        <w:t xml:space="preserve">the </w:t>
      </w:r>
      <w:r w:rsidR="00907AB9">
        <w:t>opinions of investment advisors are important considerations in making these assessments.</w:t>
      </w:r>
    </w:p>
    <w:p w14:paraId="6EA18C16" w14:textId="2EA0135F" w:rsidR="00471717" w:rsidRPr="008A285A" w:rsidRDefault="00471717" w:rsidP="00B00CCB">
      <w:pPr>
        <w:pStyle w:val="BodyTextIndent2"/>
        <w:jc w:val="both"/>
        <w:rPr>
          <w:b/>
          <w:bCs/>
        </w:rPr>
      </w:pPr>
      <w:r w:rsidRPr="008A285A">
        <w:rPr>
          <w:b/>
          <w:bCs/>
        </w:rPr>
        <w:t>Q</w:t>
      </w:r>
      <w:r w:rsidR="006B0832">
        <w:rPr>
          <w:b/>
          <w:bCs/>
        </w:rPr>
        <w:t>.</w:t>
      </w:r>
      <w:r w:rsidR="006B0832">
        <w:rPr>
          <w:b/>
          <w:bCs/>
        </w:rPr>
        <w:tab/>
      </w:r>
      <w:r w:rsidR="00B00678" w:rsidRPr="00B00678">
        <w:rPr>
          <w:b/>
          <w:bCs/>
        </w:rPr>
        <w:t>Should variation be expected among analysts in their estimates of the cost of equity?</w:t>
      </w:r>
    </w:p>
    <w:p w14:paraId="59FC5917" w14:textId="5B80941A" w:rsidR="00471717" w:rsidRDefault="00471717" w:rsidP="00764CB9">
      <w:pPr>
        <w:pStyle w:val="BodyTextIndent2"/>
        <w:spacing w:after="120"/>
        <w:jc w:val="both"/>
        <w:rPr>
          <w:szCs w:val="24"/>
        </w:rPr>
      </w:pPr>
      <w:r w:rsidRPr="006A5F0F">
        <w:rPr>
          <w:szCs w:val="24"/>
        </w:rPr>
        <w:t>A.</w:t>
      </w:r>
      <w:r w:rsidR="00B00678">
        <w:rPr>
          <w:szCs w:val="24"/>
        </w:rPr>
        <w:tab/>
      </w:r>
      <w:r w:rsidR="00B00678" w:rsidRPr="00B00678">
        <w:rPr>
          <w:szCs w:val="24"/>
        </w:rPr>
        <w:t xml:space="preserve">Yes.  </w:t>
      </w:r>
      <w:r w:rsidR="004E750D">
        <w:rPr>
          <w:szCs w:val="24"/>
        </w:rPr>
        <w:t>E</w:t>
      </w:r>
      <w:r w:rsidR="00B00678" w:rsidRPr="00B00678">
        <w:rPr>
          <w:szCs w:val="24"/>
        </w:rPr>
        <w:t xml:space="preserve">stimating the cost of equity involves subjective </w:t>
      </w:r>
      <w:r w:rsidR="00A03705">
        <w:rPr>
          <w:szCs w:val="24"/>
        </w:rPr>
        <w:t>judgement</w:t>
      </w:r>
      <w:r w:rsidR="00A03705" w:rsidRPr="00B00678">
        <w:rPr>
          <w:szCs w:val="24"/>
        </w:rPr>
        <w:t xml:space="preserve"> </w:t>
      </w:r>
      <w:r w:rsidR="00B00678" w:rsidRPr="00B00678">
        <w:rPr>
          <w:szCs w:val="24"/>
        </w:rPr>
        <w:t>at various stages of the analysis</w:t>
      </w:r>
      <w:r w:rsidR="004E750D">
        <w:rPr>
          <w:szCs w:val="24"/>
        </w:rPr>
        <w:t>; therefore</w:t>
      </w:r>
      <w:r w:rsidR="00B00678" w:rsidRPr="00B00678">
        <w:rPr>
          <w:szCs w:val="24"/>
        </w:rPr>
        <w:t>, there is no single</w:t>
      </w:r>
      <w:r w:rsidR="004E750D">
        <w:rPr>
          <w:szCs w:val="24"/>
        </w:rPr>
        <w:t>,</w:t>
      </w:r>
      <w:r w:rsidR="00B00678" w:rsidRPr="00B00678">
        <w:rPr>
          <w:szCs w:val="24"/>
        </w:rPr>
        <w:t xml:space="preserve"> infallible approach that can be used in all circumstances.  The opinions of experts can differ widely on many factors relevant to the cost of equity, such as basic assumptions about risk, economic conditions, and investor expectations.  Variations in the chosen approaches and even in the application of </w:t>
      </w:r>
      <w:r w:rsidR="0032760A">
        <w:rPr>
          <w:szCs w:val="24"/>
        </w:rPr>
        <w:t>a single</w:t>
      </w:r>
      <w:r w:rsidR="00B00678" w:rsidRPr="00B00678">
        <w:rPr>
          <w:szCs w:val="24"/>
        </w:rPr>
        <w:t xml:space="preserve"> approach by different analysts should be expected.  To rely solely on one approach for all companies </w:t>
      </w:r>
      <w:r w:rsidR="000D7093">
        <w:rPr>
          <w:szCs w:val="24"/>
        </w:rPr>
        <w:t>in</w:t>
      </w:r>
      <w:r w:rsidR="00B00678" w:rsidRPr="00B00678">
        <w:rPr>
          <w:szCs w:val="24"/>
        </w:rPr>
        <w:t xml:space="preserve"> all market conditions and economic environments would be inappropriate.  </w:t>
      </w:r>
      <w:r w:rsidR="00764CB9" w:rsidRPr="00764CB9">
        <w:rPr>
          <w:szCs w:val="24"/>
        </w:rPr>
        <w:t>Generally, however, the results of various methods should be close to</w:t>
      </w:r>
      <w:r w:rsidR="00764CB9">
        <w:rPr>
          <w:szCs w:val="24"/>
        </w:rPr>
        <w:t xml:space="preserve"> </w:t>
      </w:r>
      <w:r w:rsidR="00764CB9" w:rsidRPr="00764CB9">
        <w:rPr>
          <w:szCs w:val="24"/>
        </w:rPr>
        <w:t>each other or their estimates should have overlapping ranges.</w:t>
      </w:r>
    </w:p>
    <w:p w14:paraId="2580604E" w14:textId="0B279BB2" w:rsidR="00573B33" w:rsidRPr="00573B33" w:rsidRDefault="00FB1AFB" w:rsidP="005573FF">
      <w:pPr>
        <w:pStyle w:val="question"/>
      </w:pPr>
      <w:r>
        <w:t>Q.</w:t>
      </w:r>
      <w:r>
        <w:tab/>
      </w:r>
      <w:r w:rsidR="00573B33">
        <w:t>What models and techniques did you use to estimate the cost of equity for the Company?</w:t>
      </w:r>
    </w:p>
    <w:p w14:paraId="06A9B02D" w14:textId="7A2B5150" w:rsidR="00573B33" w:rsidRDefault="00573B33" w:rsidP="00B00CCB">
      <w:pPr>
        <w:pStyle w:val="BodyTextIndent2"/>
        <w:jc w:val="both"/>
      </w:pPr>
      <w:r w:rsidRPr="00EE001C">
        <w:rPr>
          <w:szCs w:val="24"/>
        </w:rPr>
        <w:t>A.</w:t>
      </w:r>
      <w:r w:rsidRPr="00573B33">
        <w:rPr>
          <w:b/>
          <w:szCs w:val="24"/>
        </w:rPr>
        <w:tab/>
      </w:r>
      <w:r>
        <w:t>I used four approaches</w:t>
      </w:r>
      <w:r w:rsidR="00263B73">
        <w:t>: t</w:t>
      </w:r>
      <w:r>
        <w:t>wo are discounted cash flow (DCF) approaches</w:t>
      </w:r>
      <w:r w:rsidR="00263B73">
        <w:t>,</w:t>
      </w:r>
      <w:r>
        <w:t xml:space="preserve"> and two are risk premium approaches. </w:t>
      </w:r>
    </w:p>
    <w:p w14:paraId="36D8589C" w14:textId="1CD68DF4" w:rsidR="00573B33" w:rsidRDefault="00573B33" w:rsidP="00B00CCB">
      <w:pPr>
        <w:pStyle w:val="BodyTextIndent2"/>
        <w:ind w:firstLine="720"/>
        <w:jc w:val="both"/>
      </w:pPr>
      <w:r>
        <w:t xml:space="preserve">The DCF methodology determines the price of a stock by estimating the value of future cash flows that the stock will produce for its owners. </w:t>
      </w:r>
      <w:r w:rsidR="0045510D">
        <w:t xml:space="preserve"> </w:t>
      </w:r>
      <w:r>
        <w:t xml:space="preserve">This method and its application in this analysis are discussed in </w:t>
      </w:r>
      <w:r w:rsidRPr="003F7266">
        <w:t>Part C</w:t>
      </w:r>
      <w:r>
        <w:t xml:space="preserve"> of this section of my testimony.</w:t>
      </w:r>
    </w:p>
    <w:p w14:paraId="24CC1D3C" w14:textId="20BDA9AC" w:rsidR="00573B33" w:rsidRDefault="00573B33" w:rsidP="00B00CCB">
      <w:pPr>
        <w:pStyle w:val="BodyTextIndent2"/>
        <w:ind w:firstLine="720"/>
        <w:jc w:val="both"/>
      </w:pPr>
      <w:r>
        <w:t>The “conventional” risk premium approach that I use in my testimony relies on the historical relationship between two indices.</w:t>
      </w:r>
      <w:r w:rsidR="0045510D">
        <w:t xml:space="preserve"> </w:t>
      </w:r>
      <w:r>
        <w:t xml:space="preserve"> A value, which is unknown in a particular period, </w:t>
      </w:r>
      <w:r w:rsidR="00F50C85">
        <w:t xml:space="preserve">is forecasted </w:t>
      </w:r>
      <w:r>
        <w:t xml:space="preserve">for one of the indices </w:t>
      </w:r>
      <w:r w:rsidR="00A3672A">
        <w:t xml:space="preserve">by </w:t>
      </w:r>
      <w:r>
        <w:t>using its historical relationship to the other index, where the value for that same period is known.</w:t>
      </w:r>
      <w:r w:rsidR="0045510D">
        <w:t xml:space="preserve"> </w:t>
      </w:r>
      <w:r>
        <w:t xml:space="preserve"> I discuss this approach as well as the </w:t>
      </w:r>
      <w:r w:rsidR="00720211">
        <w:t>c</w:t>
      </w:r>
      <w:r>
        <w:t xml:space="preserve">apital </w:t>
      </w:r>
      <w:r w:rsidR="00720211">
        <w:t>a</w:t>
      </w:r>
      <w:r>
        <w:t xml:space="preserve">sset </w:t>
      </w:r>
      <w:r w:rsidR="00720211">
        <w:t>p</w:t>
      </w:r>
      <w:r>
        <w:t xml:space="preserve">ricing </w:t>
      </w:r>
      <w:r w:rsidR="00720211">
        <w:t>m</w:t>
      </w:r>
      <w:r>
        <w:t xml:space="preserve">odel (CAPM) in </w:t>
      </w:r>
      <w:r w:rsidRPr="000412F5">
        <w:t>Part D</w:t>
      </w:r>
      <w:r>
        <w:t xml:space="preserve"> of this section of my testimony.</w:t>
      </w:r>
    </w:p>
    <w:p w14:paraId="49992BFD" w14:textId="55147F54" w:rsidR="00E77D33" w:rsidRDefault="00573B33" w:rsidP="00B00CCB">
      <w:pPr>
        <w:pStyle w:val="BodyTextIndent2"/>
        <w:spacing w:after="120"/>
        <w:ind w:firstLine="720"/>
        <w:jc w:val="both"/>
      </w:pPr>
      <w:r>
        <w:t>Use of the DCF and risk</w:t>
      </w:r>
      <w:r w:rsidR="00720211">
        <w:t xml:space="preserve"> </w:t>
      </w:r>
      <w:r>
        <w:t>premium methods is well</w:t>
      </w:r>
      <w:r w:rsidR="00720211">
        <w:t xml:space="preserve"> </w:t>
      </w:r>
      <w:r>
        <w:t xml:space="preserve">established </w:t>
      </w:r>
      <w:r w:rsidR="00120D6E">
        <w:t>by the</w:t>
      </w:r>
      <w:r>
        <w:t xml:space="preserve"> Commission, and these methods have been relied on in rate case decisions </w:t>
      </w:r>
      <w:r w:rsidRPr="00E51D48">
        <w:t xml:space="preserve">for at least the </w:t>
      </w:r>
      <w:r w:rsidR="00F50C85">
        <w:t>p</w:t>
      </w:r>
      <w:r w:rsidRPr="00E51D48">
        <w:t>ast three decades</w:t>
      </w:r>
      <w:r>
        <w:t>.</w:t>
      </w:r>
      <w:bookmarkStart w:id="14" w:name="OLE_LINK19"/>
      <w:r w:rsidR="000E7458" w:rsidRPr="000D0611">
        <w:rPr>
          <w:rStyle w:val="FootnoteReference"/>
          <w:szCs w:val="24"/>
        </w:rPr>
        <w:footnoteReference w:id="12"/>
      </w:r>
      <w:bookmarkEnd w:id="14"/>
    </w:p>
    <w:p w14:paraId="1A5D0F76" w14:textId="7F4E0BBD" w:rsidR="00FB1AFB" w:rsidRPr="00D9384D" w:rsidRDefault="00573B33" w:rsidP="00D9384D">
      <w:pPr>
        <w:pStyle w:val="Heading2"/>
        <w:numPr>
          <w:ilvl w:val="0"/>
          <w:numId w:val="19"/>
        </w:numPr>
      </w:pPr>
      <w:bookmarkStart w:id="15" w:name="_Toc10117669"/>
      <w:r w:rsidRPr="00FB1AFB">
        <w:t>COMPARABLE COMPANY ANALYSIS</w:t>
      </w:r>
      <w:bookmarkEnd w:id="15"/>
    </w:p>
    <w:p w14:paraId="1695841C" w14:textId="3C0623E9" w:rsidR="00E77D33" w:rsidRPr="008A285A" w:rsidRDefault="00E77D33" w:rsidP="00E77D33">
      <w:pPr>
        <w:pStyle w:val="BodyTextIndent2"/>
        <w:jc w:val="both"/>
        <w:rPr>
          <w:b/>
          <w:bCs/>
        </w:rPr>
      </w:pPr>
      <w:r w:rsidRPr="008A285A">
        <w:rPr>
          <w:b/>
          <w:bCs/>
        </w:rPr>
        <w:t>Q.</w:t>
      </w:r>
      <w:r w:rsidRPr="008A285A">
        <w:rPr>
          <w:b/>
          <w:bCs/>
        </w:rPr>
        <w:tab/>
        <w:t xml:space="preserve"> </w:t>
      </w:r>
      <w:r w:rsidR="003056C8" w:rsidRPr="003056C8">
        <w:rPr>
          <w:b/>
          <w:bCs/>
        </w:rPr>
        <w:t>What is the purpose of a comparable company analysis?</w:t>
      </w:r>
    </w:p>
    <w:p w14:paraId="00F9ECD5" w14:textId="1091ADD2" w:rsidR="00E77D33" w:rsidRPr="00E77D33" w:rsidRDefault="00E77D33" w:rsidP="00B00CCB">
      <w:pPr>
        <w:pStyle w:val="BodyTextIndent2"/>
        <w:spacing w:after="120"/>
        <w:jc w:val="both"/>
      </w:pPr>
      <w:r w:rsidRPr="00E77D33">
        <w:t>A.</w:t>
      </w:r>
      <w:r w:rsidRPr="00E77D33">
        <w:tab/>
      </w:r>
      <w:r w:rsidR="00453694" w:rsidRPr="00453694">
        <w:t>The objective of a comparable company analysis</w:t>
      </w:r>
      <w:r w:rsidR="00254064">
        <w:t xml:space="preserve"> in this context</w:t>
      </w:r>
      <w:r w:rsidR="00453694" w:rsidRPr="00453694">
        <w:t xml:space="preserve"> is to estimate the cost of equity for a subject company by </w:t>
      </w:r>
      <w:r w:rsidR="007E59E8" w:rsidRPr="007E59E8">
        <w:t>estimating the cost of equity for companies with similar risk</w:t>
      </w:r>
      <w:r w:rsidR="00453694">
        <w:t xml:space="preserve"> characteristics.</w:t>
      </w:r>
      <w:r w:rsidR="00801EC1">
        <w:t xml:space="preserve"> </w:t>
      </w:r>
      <w:r w:rsidR="00672712">
        <w:t xml:space="preserve"> </w:t>
      </w:r>
      <w:r w:rsidR="00801EC1" w:rsidRPr="00801EC1">
        <w:t>The use of comparable companies in determining a company’s cost of equity mitigate</w:t>
      </w:r>
      <w:r w:rsidR="00FB50FC">
        <w:t>s</w:t>
      </w:r>
      <w:r w:rsidR="00801EC1" w:rsidRPr="00801EC1">
        <w:t xml:space="preserve"> the influence of unknown factors by spreading them over </w:t>
      </w:r>
      <w:r w:rsidR="00FB50FC">
        <w:t>multiple</w:t>
      </w:r>
      <w:r w:rsidR="00801EC1" w:rsidRPr="00801EC1">
        <w:t xml:space="preserve"> companies that are used in the comparable company analysis.</w:t>
      </w:r>
      <w:r w:rsidR="00453694">
        <w:t xml:space="preserve">  </w:t>
      </w:r>
    </w:p>
    <w:p w14:paraId="7D2CE8EF" w14:textId="2409DA9D" w:rsidR="00894F64" w:rsidRPr="008A285A" w:rsidRDefault="00894F64" w:rsidP="005573FF">
      <w:pPr>
        <w:pStyle w:val="BodyTextIndent2"/>
        <w:jc w:val="both"/>
        <w:rPr>
          <w:b/>
          <w:bCs/>
        </w:rPr>
      </w:pPr>
      <w:r w:rsidRPr="008A285A">
        <w:rPr>
          <w:b/>
          <w:bCs/>
        </w:rPr>
        <w:t>Q</w:t>
      </w:r>
      <w:r w:rsidR="002873F3">
        <w:rPr>
          <w:b/>
          <w:bCs/>
        </w:rPr>
        <w:t>.</w:t>
      </w:r>
      <w:r w:rsidR="002873F3">
        <w:rPr>
          <w:b/>
          <w:bCs/>
        </w:rPr>
        <w:tab/>
      </w:r>
      <w:r w:rsidR="002873F3" w:rsidRPr="002873F3">
        <w:rPr>
          <w:b/>
          <w:bCs/>
        </w:rPr>
        <w:t xml:space="preserve">Please describe the group of comparable companies </w:t>
      </w:r>
      <w:r w:rsidR="00575547">
        <w:rPr>
          <w:b/>
          <w:bCs/>
        </w:rPr>
        <w:t xml:space="preserve">on which you performed </w:t>
      </w:r>
      <w:r w:rsidR="002873F3" w:rsidRPr="002873F3">
        <w:rPr>
          <w:b/>
          <w:bCs/>
        </w:rPr>
        <w:t>your cost of equity analysis.</w:t>
      </w:r>
    </w:p>
    <w:p w14:paraId="2D94DB33" w14:textId="73B610F7" w:rsidR="00C14288" w:rsidRDefault="00894F64" w:rsidP="00C14288">
      <w:pPr>
        <w:pStyle w:val="BodyTextIndent2"/>
        <w:spacing w:after="120"/>
        <w:jc w:val="both"/>
        <w:rPr>
          <w:bCs/>
        </w:rPr>
      </w:pPr>
      <w:r w:rsidRPr="00E77D33">
        <w:t>A.</w:t>
      </w:r>
      <w:r w:rsidR="00E77D33" w:rsidRPr="008A285A">
        <w:rPr>
          <w:b/>
          <w:bCs/>
        </w:rPr>
        <w:tab/>
      </w:r>
      <w:r w:rsidR="00C14288" w:rsidRPr="00C14288">
        <w:rPr>
          <w:bCs/>
        </w:rPr>
        <w:t xml:space="preserve">I selected comparable companies by starting with all the electric utility companies </w:t>
      </w:r>
      <w:r w:rsidR="008D479A">
        <w:rPr>
          <w:bCs/>
        </w:rPr>
        <w:t xml:space="preserve">covered by </w:t>
      </w:r>
      <w:r w:rsidR="00C14288" w:rsidRPr="00C14288">
        <w:rPr>
          <w:bCs/>
        </w:rPr>
        <w:t>Value Line</w:t>
      </w:r>
      <w:r w:rsidR="008D479A">
        <w:rPr>
          <w:bCs/>
        </w:rPr>
        <w:t xml:space="preserve">’s </w:t>
      </w:r>
      <w:r w:rsidR="00C14288" w:rsidRPr="008D479A">
        <w:rPr>
          <w:bCs/>
          <w:i/>
        </w:rPr>
        <w:t>Ratings and Reports</w:t>
      </w:r>
      <w:r w:rsidR="007E693E" w:rsidRPr="007E693E">
        <w:rPr>
          <w:bCs/>
        </w:rPr>
        <w:t>.</w:t>
      </w:r>
      <w:r w:rsidR="007E693E">
        <w:rPr>
          <w:bCs/>
        </w:rPr>
        <w:t xml:space="preserve"> </w:t>
      </w:r>
      <w:r w:rsidR="008D479A">
        <w:rPr>
          <w:bCs/>
          <w:i/>
        </w:rPr>
        <w:t xml:space="preserve"> </w:t>
      </w:r>
      <w:r w:rsidR="007E693E">
        <w:rPr>
          <w:bCs/>
        </w:rPr>
        <w:t>T</w:t>
      </w:r>
      <w:r w:rsidR="008D479A">
        <w:rPr>
          <w:bCs/>
        </w:rPr>
        <w:t>hen I selected</w:t>
      </w:r>
      <w:r w:rsidR="00C14288" w:rsidRPr="00C14288">
        <w:rPr>
          <w:bCs/>
        </w:rPr>
        <w:t xml:space="preserve"> those companies </w:t>
      </w:r>
      <w:r w:rsidR="008D479A">
        <w:rPr>
          <w:bCs/>
        </w:rPr>
        <w:t>that share certain characteristics with CEHE</w:t>
      </w:r>
      <w:r w:rsidR="00C14288" w:rsidRPr="00C14288">
        <w:rPr>
          <w:bCs/>
        </w:rPr>
        <w:t xml:space="preserve"> without restricting their number unreasonably.  The more companies there are in the analysis, the more the effects of an unexpected anomaly in one will be diluted by the rest</w:t>
      </w:r>
      <w:r w:rsidR="007E693E">
        <w:rPr>
          <w:bCs/>
        </w:rPr>
        <w:t>,</w:t>
      </w:r>
      <w:r w:rsidR="00C14288" w:rsidRPr="00C14288">
        <w:rPr>
          <w:bCs/>
        </w:rPr>
        <w:t xml:space="preserve"> and therefore the better the comparison to the Company will be. </w:t>
      </w:r>
      <w:r w:rsidR="00AF10D6">
        <w:rPr>
          <w:bCs/>
        </w:rPr>
        <w:t xml:space="preserve"> </w:t>
      </w:r>
      <w:r w:rsidR="003C025E">
        <w:rPr>
          <w:bCs/>
        </w:rPr>
        <w:t xml:space="preserve">However, </w:t>
      </w:r>
      <w:r w:rsidR="00C14288" w:rsidRPr="00C14288">
        <w:rPr>
          <w:bCs/>
        </w:rPr>
        <w:t xml:space="preserve">choosing less stringent screening criteria to increase the number of comparable companies may result in the selection of companies with characteristics unlike those of </w:t>
      </w:r>
      <w:r w:rsidR="005132C8">
        <w:rPr>
          <w:bCs/>
        </w:rPr>
        <w:t>CEHE</w:t>
      </w:r>
      <w:r w:rsidR="00C14288" w:rsidRPr="00C14288">
        <w:rPr>
          <w:bCs/>
        </w:rPr>
        <w:t>.</w:t>
      </w:r>
    </w:p>
    <w:p w14:paraId="7F21D8E9" w14:textId="42AA0DF7" w:rsidR="00934566" w:rsidRPr="00C14288" w:rsidRDefault="005573FF" w:rsidP="00C14288">
      <w:pPr>
        <w:pStyle w:val="BodyTextIndent2"/>
        <w:jc w:val="both"/>
        <w:rPr>
          <w:b/>
          <w:bCs/>
        </w:rPr>
      </w:pPr>
      <w:r w:rsidRPr="00C14288">
        <w:rPr>
          <w:b/>
          <w:bCs/>
        </w:rPr>
        <w:t>Q.</w:t>
      </w:r>
      <w:r w:rsidRPr="00C14288">
        <w:rPr>
          <w:b/>
          <w:bCs/>
        </w:rPr>
        <w:tab/>
      </w:r>
      <w:r w:rsidR="00934566" w:rsidRPr="00C14288">
        <w:rPr>
          <w:b/>
          <w:bCs/>
        </w:rPr>
        <w:t>On what basis did you select your group of comparable companies?</w:t>
      </w:r>
    </w:p>
    <w:p w14:paraId="704ABE6B" w14:textId="2CDA0BD2" w:rsidR="00427F1E" w:rsidRDefault="00427F1E" w:rsidP="00427F1E">
      <w:pPr>
        <w:pStyle w:val="answer"/>
        <w:numPr>
          <w:ilvl w:val="0"/>
          <w:numId w:val="15"/>
        </w:numPr>
        <w:tabs>
          <w:tab w:val="clear" w:pos="360"/>
          <w:tab w:val="num" w:pos="-3420"/>
          <w:tab w:val="left" w:pos="720"/>
        </w:tabs>
        <w:spacing w:after="0"/>
        <w:ind w:left="720" w:right="0" w:hanging="720"/>
      </w:pPr>
      <w:r>
        <w:t>I selected those electric utilities that:</w:t>
      </w:r>
    </w:p>
    <w:p w14:paraId="7E77F299" w14:textId="1C420F27" w:rsidR="00427F1E" w:rsidRDefault="007E693E" w:rsidP="00427F1E">
      <w:pPr>
        <w:pStyle w:val="answer"/>
        <w:numPr>
          <w:ilvl w:val="0"/>
          <w:numId w:val="18"/>
        </w:numPr>
        <w:tabs>
          <w:tab w:val="clear" w:pos="360"/>
          <w:tab w:val="left" w:pos="720"/>
        </w:tabs>
        <w:spacing w:after="0"/>
        <w:ind w:right="0"/>
      </w:pPr>
      <w:r>
        <w:t>A</w:t>
      </w:r>
      <w:r w:rsidR="00427F1E">
        <w:t>re followed by Value Line</w:t>
      </w:r>
      <w:r w:rsidR="0045352B">
        <w:t xml:space="preserve">’s </w:t>
      </w:r>
      <w:r w:rsidR="0045352B" w:rsidRPr="0045352B">
        <w:rPr>
          <w:i/>
        </w:rPr>
        <w:t>Ratings and Reports</w:t>
      </w:r>
      <w:r w:rsidR="00427F1E">
        <w:t>;</w:t>
      </w:r>
    </w:p>
    <w:p w14:paraId="5AA2CECB" w14:textId="61004E2D" w:rsidR="00427F1E" w:rsidRDefault="007E693E" w:rsidP="0045352B">
      <w:pPr>
        <w:pStyle w:val="answer"/>
        <w:numPr>
          <w:ilvl w:val="0"/>
          <w:numId w:val="18"/>
        </w:numPr>
        <w:tabs>
          <w:tab w:val="clear" w:pos="360"/>
          <w:tab w:val="left" w:pos="720"/>
        </w:tabs>
        <w:spacing w:after="0"/>
        <w:ind w:right="0"/>
      </w:pPr>
      <w:r>
        <w:t>H</w:t>
      </w:r>
      <w:r w:rsidR="00427F1E">
        <w:t>ave a current capital structure with a long-term debt</w:t>
      </w:r>
      <w:r>
        <w:t xml:space="preserve"> proportion between 40% and 60% per </w:t>
      </w:r>
      <w:bookmarkStart w:id="16" w:name="OLE_LINK8"/>
      <w:r w:rsidRPr="0045352B">
        <w:t>Value Line</w:t>
      </w:r>
      <w:r>
        <w:t xml:space="preserve">’s </w:t>
      </w:r>
      <w:r w:rsidRPr="0045352B">
        <w:rPr>
          <w:i/>
        </w:rPr>
        <w:t>Ratings and Reports</w:t>
      </w:r>
      <w:bookmarkEnd w:id="16"/>
      <w:r w:rsidR="000F6639">
        <w:t>;</w:t>
      </w:r>
    </w:p>
    <w:p w14:paraId="32E41B49" w14:textId="4095DC8D" w:rsidR="00427F1E" w:rsidRDefault="000F6639" w:rsidP="00427F1E">
      <w:pPr>
        <w:pStyle w:val="answer"/>
        <w:numPr>
          <w:ilvl w:val="0"/>
          <w:numId w:val="18"/>
        </w:numPr>
        <w:tabs>
          <w:tab w:val="clear" w:pos="360"/>
          <w:tab w:val="left" w:pos="720"/>
        </w:tabs>
        <w:spacing w:after="0"/>
        <w:ind w:right="0"/>
      </w:pPr>
      <w:r>
        <w:t>H</w:t>
      </w:r>
      <w:r w:rsidR="00427F1E">
        <w:t>ave a positive forecast of earnings growth from Value Line</w:t>
      </w:r>
      <w:r w:rsidR="0045352B">
        <w:t xml:space="preserve">’s </w:t>
      </w:r>
      <w:r w:rsidR="0045352B" w:rsidRPr="0045352B">
        <w:rPr>
          <w:i/>
        </w:rPr>
        <w:t>Ratings and Reports</w:t>
      </w:r>
      <w:r w:rsidR="00427F1E">
        <w:t xml:space="preserve"> and have</w:t>
      </w:r>
      <w:r w:rsidR="00427F1E" w:rsidRPr="00666DBD">
        <w:t xml:space="preserve"> </w:t>
      </w:r>
      <w:r w:rsidR="00427F1E">
        <w:t>a positive long-term forecast of earnings growth</w:t>
      </w:r>
      <w:r>
        <w:t xml:space="preserve">, if provided by </w:t>
      </w:r>
      <w:proofErr w:type="spellStart"/>
      <w:r w:rsidR="00427F1E">
        <w:t>Zacks</w:t>
      </w:r>
      <w:proofErr w:type="spellEnd"/>
      <w:r w:rsidR="00427F1E">
        <w:t>;</w:t>
      </w:r>
    </w:p>
    <w:p w14:paraId="65A4CDB9" w14:textId="2A4F435F" w:rsidR="00C62131" w:rsidRDefault="00C62131" w:rsidP="00C62131">
      <w:pPr>
        <w:pStyle w:val="answer"/>
        <w:numPr>
          <w:ilvl w:val="0"/>
          <w:numId w:val="18"/>
        </w:numPr>
        <w:tabs>
          <w:tab w:val="clear" w:pos="360"/>
          <w:tab w:val="left" w:pos="720"/>
        </w:tabs>
        <w:spacing w:after="0"/>
        <w:ind w:right="0"/>
      </w:pPr>
      <w:r>
        <w:t>H</w:t>
      </w:r>
      <w:r w:rsidR="0045352B">
        <w:t>ave not had recent dividend omissions, cuts, or stagnat</w:t>
      </w:r>
      <w:r>
        <w:t xml:space="preserve">ion per </w:t>
      </w:r>
      <w:r w:rsidRPr="0045352B">
        <w:t>Value Line</w:t>
      </w:r>
      <w:r>
        <w:t xml:space="preserve">’s </w:t>
      </w:r>
      <w:r w:rsidRPr="0045352B">
        <w:rPr>
          <w:i/>
        </w:rPr>
        <w:t>Ratings and Reports</w:t>
      </w:r>
      <w:r>
        <w:t>;</w:t>
      </w:r>
    </w:p>
    <w:p w14:paraId="73F79BAE" w14:textId="42977E13" w:rsidR="00427F1E" w:rsidRPr="00A61846" w:rsidRDefault="00154308" w:rsidP="00427F1E">
      <w:pPr>
        <w:pStyle w:val="answer"/>
        <w:numPr>
          <w:ilvl w:val="0"/>
          <w:numId w:val="18"/>
        </w:numPr>
        <w:tabs>
          <w:tab w:val="clear" w:pos="360"/>
          <w:tab w:val="left" w:pos="720"/>
        </w:tabs>
        <w:spacing w:after="0"/>
        <w:ind w:right="0"/>
      </w:pPr>
      <w:r>
        <w:t>A</w:t>
      </w:r>
      <w:r w:rsidR="00427F1E" w:rsidRPr="00A61846">
        <w:t>re covered by either Moody’s or S&amp;P</w:t>
      </w:r>
      <w:r>
        <w:t xml:space="preserve"> or both,</w:t>
      </w:r>
      <w:r w:rsidR="00427F1E" w:rsidRPr="00A61846">
        <w:t xml:space="preserve"> have investment</w:t>
      </w:r>
      <w:r>
        <w:t>-</w:t>
      </w:r>
      <w:r w:rsidR="00427F1E" w:rsidRPr="00A61846">
        <w:t>grade credit ratings</w:t>
      </w:r>
      <w:r>
        <w:t>,</w:t>
      </w:r>
      <w:r w:rsidR="00427F1E" w:rsidRPr="00A61846">
        <w:t xml:space="preserve"> and, if the credit rating agency’s outlook is negative </w:t>
      </w:r>
      <w:r w:rsidR="00427F1E" w:rsidRPr="00A10195">
        <w:t>or if the utility has a negative credit watch</w:t>
      </w:r>
      <w:r w:rsidR="00427F1E" w:rsidRPr="00A61846">
        <w:t xml:space="preserve">, would not lose </w:t>
      </w:r>
      <w:r w:rsidR="005B04C8">
        <w:t xml:space="preserve">the </w:t>
      </w:r>
      <w:r w:rsidR="00427F1E" w:rsidRPr="00A61846">
        <w:t>investment</w:t>
      </w:r>
      <w:r w:rsidR="005B04C8">
        <w:t>-</w:t>
      </w:r>
      <w:r w:rsidR="00427F1E" w:rsidRPr="00A61846">
        <w:t xml:space="preserve">grade rating if downgraded one </w:t>
      </w:r>
      <w:r w:rsidR="005C1B25">
        <w:t>notch</w:t>
      </w:r>
      <w:r w:rsidR="00427F1E" w:rsidRPr="00A61846">
        <w:t>;</w:t>
      </w:r>
      <w:r w:rsidR="0045352B">
        <w:t xml:space="preserve"> and</w:t>
      </w:r>
    </w:p>
    <w:p w14:paraId="7D1C4C15" w14:textId="330A4CFA" w:rsidR="00427F1E" w:rsidRDefault="005B04C8" w:rsidP="00427F1E">
      <w:pPr>
        <w:pStyle w:val="answer"/>
        <w:numPr>
          <w:ilvl w:val="0"/>
          <w:numId w:val="18"/>
        </w:numPr>
        <w:tabs>
          <w:tab w:val="clear" w:pos="360"/>
          <w:tab w:val="left" w:pos="720"/>
        </w:tabs>
        <w:spacing w:after="0"/>
        <w:ind w:right="0"/>
      </w:pPr>
      <w:r>
        <w:t>H</w:t>
      </w:r>
      <w:r w:rsidR="00427F1E">
        <w:t>ave not had recent</w:t>
      </w:r>
      <w:r w:rsidR="00BB44FA">
        <w:t>,</w:t>
      </w:r>
      <w:r w:rsidR="00427F1E">
        <w:t xml:space="preserve"> planned</w:t>
      </w:r>
      <w:r w:rsidR="0074732E">
        <w:t>,</w:t>
      </w:r>
      <w:r w:rsidR="00427F1E">
        <w:t xml:space="preserve"> or expected merger activities or other major capital expansion or contraction, and have not </w:t>
      </w:r>
      <w:r w:rsidR="0074732E">
        <w:t>experience</w:t>
      </w:r>
      <w:r w:rsidR="00481174">
        <w:t>d</w:t>
      </w:r>
      <w:r w:rsidR="0074732E">
        <w:t xml:space="preserve"> a</w:t>
      </w:r>
      <w:r w:rsidR="00427F1E">
        <w:t xml:space="preserve">ny major, recent extraordinary events that would affect </w:t>
      </w:r>
      <w:r w:rsidR="0074732E">
        <w:t xml:space="preserve">their </w:t>
      </w:r>
      <w:r w:rsidR="00427F1E">
        <w:t>overall financial condition</w:t>
      </w:r>
      <w:r w:rsidR="0086653A">
        <w:t>.</w:t>
      </w:r>
    </w:p>
    <w:p w14:paraId="0FE37BC7" w14:textId="645D1F91" w:rsidR="00471F6C" w:rsidRDefault="00D926C6" w:rsidP="00D926C6">
      <w:pPr>
        <w:pStyle w:val="question"/>
      </w:pPr>
      <w:r>
        <w:t>Q.</w:t>
      </w:r>
      <w:r>
        <w:tab/>
      </w:r>
      <w:r w:rsidR="00471F6C">
        <w:t>Please list the companies that met the screening criteria</w:t>
      </w:r>
      <w:r>
        <w:t>.</w:t>
      </w:r>
    </w:p>
    <w:p w14:paraId="5E3E85E5" w14:textId="52032662" w:rsidR="00471F6C" w:rsidRDefault="008648D6" w:rsidP="00471F6C">
      <w:pPr>
        <w:pStyle w:val="answer"/>
        <w:numPr>
          <w:ilvl w:val="0"/>
          <w:numId w:val="15"/>
        </w:numPr>
        <w:tabs>
          <w:tab w:val="clear" w:pos="360"/>
          <w:tab w:val="num" w:pos="-3420"/>
          <w:tab w:val="left" w:pos="720"/>
        </w:tabs>
        <w:spacing w:after="0"/>
        <w:ind w:left="720" w:right="0" w:hanging="720"/>
      </w:pPr>
      <w:r>
        <w:t xml:space="preserve">Listed below are the </w:t>
      </w:r>
      <w:r w:rsidR="00AA0E55">
        <w:t xml:space="preserve">21 </w:t>
      </w:r>
      <w:r>
        <w:t>companies that met the screening criteria</w:t>
      </w:r>
      <w:r w:rsidR="00D926C6">
        <w:t>:</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2" w:type="dxa"/>
          <w:right w:w="72" w:type="dxa"/>
        </w:tblCellMar>
        <w:tblLook w:val="04A0" w:firstRow="1" w:lastRow="0" w:firstColumn="1" w:lastColumn="0" w:noHBand="0" w:noVBand="1"/>
      </w:tblPr>
      <w:tblGrid>
        <w:gridCol w:w="805"/>
        <w:gridCol w:w="1890"/>
        <w:gridCol w:w="5130"/>
      </w:tblGrid>
      <w:tr w:rsidR="00DD223F" w:rsidRPr="00B138FB" w14:paraId="7607F21A" w14:textId="77777777" w:rsidTr="00B138FB">
        <w:trPr>
          <w:trHeight w:val="20"/>
          <w:jc w:val="center"/>
        </w:trPr>
        <w:tc>
          <w:tcPr>
            <w:tcW w:w="805" w:type="dxa"/>
          </w:tcPr>
          <w:p w14:paraId="6E53E597" w14:textId="77777777" w:rsidR="00DD223F" w:rsidRPr="00B138FB" w:rsidRDefault="00DD223F" w:rsidP="00B138FB">
            <w:pPr>
              <w:pStyle w:val="answer"/>
              <w:tabs>
                <w:tab w:val="left" w:pos="720"/>
              </w:tabs>
              <w:spacing w:before="100" w:beforeAutospacing="1" w:after="100" w:afterAutospacing="1" w:line="240" w:lineRule="auto"/>
              <w:ind w:left="0" w:right="0" w:firstLine="0"/>
              <w:rPr>
                <w:b/>
                <w:sz w:val="22"/>
                <w:szCs w:val="22"/>
              </w:rPr>
            </w:pPr>
          </w:p>
        </w:tc>
        <w:tc>
          <w:tcPr>
            <w:tcW w:w="1890" w:type="dxa"/>
            <w:tcMar>
              <w:left w:w="0" w:type="dxa"/>
              <w:right w:w="0" w:type="dxa"/>
            </w:tcMar>
            <w:hideMark/>
          </w:tcPr>
          <w:p w14:paraId="0E53F210" w14:textId="73ED3695" w:rsidR="00DD223F" w:rsidRPr="00B138FB" w:rsidRDefault="00DD223F" w:rsidP="00B138FB">
            <w:pPr>
              <w:pStyle w:val="answer"/>
              <w:tabs>
                <w:tab w:val="left" w:pos="720"/>
              </w:tabs>
              <w:spacing w:before="100" w:beforeAutospacing="1" w:after="100" w:afterAutospacing="1" w:line="240" w:lineRule="auto"/>
              <w:ind w:left="0" w:right="0" w:firstLine="0"/>
              <w:rPr>
                <w:b/>
                <w:sz w:val="22"/>
                <w:szCs w:val="22"/>
                <w:u w:val="single"/>
              </w:rPr>
            </w:pPr>
            <w:r w:rsidRPr="00B138FB">
              <w:rPr>
                <w:b/>
                <w:sz w:val="22"/>
                <w:szCs w:val="22"/>
              </w:rPr>
              <w:t xml:space="preserve">    </w:t>
            </w:r>
            <w:r w:rsidRPr="00B138FB">
              <w:rPr>
                <w:b/>
                <w:sz w:val="22"/>
                <w:szCs w:val="22"/>
                <w:u w:val="single"/>
              </w:rPr>
              <w:t>Ticker Symbol</w:t>
            </w:r>
          </w:p>
        </w:tc>
        <w:tc>
          <w:tcPr>
            <w:tcW w:w="5130" w:type="dxa"/>
            <w:noWrap/>
            <w:hideMark/>
          </w:tcPr>
          <w:p w14:paraId="457A0B15" w14:textId="35FC7979" w:rsidR="00DD223F" w:rsidRPr="00B138FB" w:rsidRDefault="00DD223F" w:rsidP="00B138FB">
            <w:pPr>
              <w:pStyle w:val="answer"/>
              <w:tabs>
                <w:tab w:val="left" w:pos="720"/>
              </w:tabs>
              <w:spacing w:before="100" w:beforeAutospacing="1" w:after="100" w:afterAutospacing="1" w:line="240" w:lineRule="auto"/>
              <w:ind w:left="0" w:right="0" w:firstLine="0"/>
              <w:jc w:val="left"/>
              <w:rPr>
                <w:b/>
                <w:sz w:val="22"/>
                <w:szCs w:val="22"/>
                <w:u w:val="single"/>
              </w:rPr>
            </w:pPr>
            <w:r w:rsidRPr="00B138FB">
              <w:rPr>
                <w:b/>
                <w:sz w:val="22"/>
                <w:szCs w:val="22"/>
                <w:u w:val="single"/>
              </w:rPr>
              <w:t>Company</w:t>
            </w:r>
          </w:p>
        </w:tc>
      </w:tr>
      <w:tr w:rsidR="00DD223F" w:rsidRPr="00B138FB" w14:paraId="37F55FD9" w14:textId="77777777" w:rsidTr="00B138FB">
        <w:trPr>
          <w:trHeight w:val="20"/>
          <w:jc w:val="center"/>
        </w:trPr>
        <w:tc>
          <w:tcPr>
            <w:tcW w:w="805" w:type="dxa"/>
            <w:vAlign w:val="bottom"/>
          </w:tcPr>
          <w:p w14:paraId="2B522126" w14:textId="13DE835C"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1</w:t>
            </w:r>
          </w:p>
        </w:tc>
        <w:tc>
          <w:tcPr>
            <w:tcW w:w="1890" w:type="dxa"/>
            <w:noWrap/>
            <w:tcMar>
              <w:left w:w="0" w:type="dxa"/>
              <w:right w:w="0" w:type="dxa"/>
            </w:tcMar>
            <w:vAlign w:val="bottom"/>
          </w:tcPr>
          <w:p w14:paraId="27D8F0AD" w14:textId="432EB21D"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LNT</w:t>
            </w:r>
          </w:p>
        </w:tc>
        <w:tc>
          <w:tcPr>
            <w:tcW w:w="5130" w:type="dxa"/>
            <w:noWrap/>
            <w:vAlign w:val="bottom"/>
          </w:tcPr>
          <w:p w14:paraId="4895DABD" w14:textId="7173E60A"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Alliant Energy Corp.</w:t>
            </w:r>
          </w:p>
        </w:tc>
      </w:tr>
      <w:tr w:rsidR="00DD223F" w:rsidRPr="00B138FB" w14:paraId="3EA9B7C0" w14:textId="77777777" w:rsidTr="00B138FB">
        <w:trPr>
          <w:trHeight w:val="20"/>
          <w:jc w:val="center"/>
        </w:trPr>
        <w:tc>
          <w:tcPr>
            <w:tcW w:w="805" w:type="dxa"/>
            <w:vAlign w:val="bottom"/>
          </w:tcPr>
          <w:p w14:paraId="71410E74" w14:textId="5A622581"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2</w:t>
            </w:r>
          </w:p>
        </w:tc>
        <w:tc>
          <w:tcPr>
            <w:tcW w:w="1890" w:type="dxa"/>
            <w:noWrap/>
            <w:tcMar>
              <w:left w:w="0" w:type="dxa"/>
              <w:right w:w="0" w:type="dxa"/>
            </w:tcMar>
            <w:vAlign w:val="bottom"/>
          </w:tcPr>
          <w:p w14:paraId="5B6AE3D8" w14:textId="064CEFDE"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AEE</w:t>
            </w:r>
          </w:p>
        </w:tc>
        <w:tc>
          <w:tcPr>
            <w:tcW w:w="5130" w:type="dxa"/>
            <w:noWrap/>
            <w:vAlign w:val="bottom"/>
          </w:tcPr>
          <w:p w14:paraId="2EB3B168" w14:textId="509AD038"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Ameren Corporation</w:t>
            </w:r>
          </w:p>
        </w:tc>
      </w:tr>
      <w:tr w:rsidR="00DD223F" w:rsidRPr="00B138FB" w14:paraId="3F86C587" w14:textId="77777777" w:rsidTr="00B138FB">
        <w:trPr>
          <w:trHeight w:val="20"/>
          <w:jc w:val="center"/>
        </w:trPr>
        <w:tc>
          <w:tcPr>
            <w:tcW w:w="805" w:type="dxa"/>
            <w:vAlign w:val="bottom"/>
          </w:tcPr>
          <w:p w14:paraId="5C5342B6" w14:textId="0245B1D7"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3</w:t>
            </w:r>
          </w:p>
        </w:tc>
        <w:tc>
          <w:tcPr>
            <w:tcW w:w="1890" w:type="dxa"/>
            <w:noWrap/>
            <w:tcMar>
              <w:left w:w="0" w:type="dxa"/>
              <w:right w:w="0" w:type="dxa"/>
            </w:tcMar>
            <w:vAlign w:val="bottom"/>
          </w:tcPr>
          <w:p w14:paraId="0FFB19D8" w14:textId="5E32D380"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AEP</w:t>
            </w:r>
          </w:p>
        </w:tc>
        <w:tc>
          <w:tcPr>
            <w:tcW w:w="5130" w:type="dxa"/>
            <w:noWrap/>
            <w:vAlign w:val="bottom"/>
          </w:tcPr>
          <w:p w14:paraId="2F1B25D2" w14:textId="5EE8C990"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American Electric Power Company, Inc. (AEP)</w:t>
            </w:r>
          </w:p>
        </w:tc>
      </w:tr>
      <w:tr w:rsidR="00DD223F" w:rsidRPr="00B138FB" w14:paraId="25FDD9BC" w14:textId="77777777" w:rsidTr="00B138FB">
        <w:trPr>
          <w:trHeight w:val="20"/>
          <w:jc w:val="center"/>
        </w:trPr>
        <w:tc>
          <w:tcPr>
            <w:tcW w:w="805" w:type="dxa"/>
            <w:vAlign w:val="bottom"/>
          </w:tcPr>
          <w:p w14:paraId="24DB8B1C" w14:textId="46C42EC4"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4</w:t>
            </w:r>
          </w:p>
        </w:tc>
        <w:tc>
          <w:tcPr>
            <w:tcW w:w="1890" w:type="dxa"/>
            <w:noWrap/>
            <w:tcMar>
              <w:left w:w="0" w:type="dxa"/>
              <w:right w:w="0" w:type="dxa"/>
            </w:tcMar>
            <w:vAlign w:val="bottom"/>
          </w:tcPr>
          <w:p w14:paraId="30549686" w14:textId="23898104"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BKH</w:t>
            </w:r>
          </w:p>
        </w:tc>
        <w:tc>
          <w:tcPr>
            <w:tcW w:w="5130" w:type="dxa"/>
            <w:noWrap/>
            <w:vAlign w:val="bottom"/>
          </w:tcPr>
          <w:p w14:paraId="381F5B49" w14:textId="6D2738E9"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Black Hills Corporation</w:t>
            </w:r>
          </w:p>
        </w:tc>
      </w:tr>
      <w:tr w:rsidR="00DD223F" w:rsidRPr="00B138FB" w14:paraId="6D43EB69" w14:textId="77777777" w:rsidTr="00B138FB">
        <w:trPr>
          <w:trHeight w:val="20"/>
          <w:jc w:val="center"/>
        </w:trPr>
        <w:tc>
          <w:tcPr>
            <w:tcW w:w="805" w:type="dxa"/>
            <w:vAlign w:val="bottom"/>
          </w:tcPr>
          <w:p w14:paraId="32F1B02B" w14:textId="6F42EEBE"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5</w:t>
            </w:r>
          </w:p>
        </w:tc>
        <w:tc>
          <w:tcPr>
            <w:tcW w:w="1890" w:type="dxa"/>
            <w:noWrap/>
            <w:tcMar>
              <w:left w:w="0" w:type="dxa"/>
              <w:right w:w="0" w:type="dxa"/>
            </w:tcMar>
            <w:vAlign w:val="bottom"/>
          </w:tcPr>
          <w:p w14:paraId="1696CF73" w14:textId="14BF4745"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color w:val="000000"/>
                <w:sz w:val="22"/>
                <w:szCs w:val="22"/>
              </w:rPr>
              <w:t>ED</w:t>
            </w:r>
          </w:p>
        </w:tc>
        <w:tc>
          <w:tcPr>
            <w:tcW w:w="5130" w:type="dxa"/>
            <w:noWrap/>
            <w:vAlign w:val="bottom"/>
          </w:tcPr>
          <w:p w14:paraId="32A13390" w14:textId="091DE907"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Consolidated Edison, Inc.</w:t>
            </w:r>
          </w:p>
        </w:tc>
      </w:tr>
      <w:tr w:rsidR="00DD223F" w:rsidRPr="00B138FB" w14:paraId="466BC301" w14:textId="77777777" w:rsidTr="00B138FB">
        <w:trPr>
          <w:trHeight w:val="20"/>
          <w:jc w:val="center"/>
        </w:trPr>
        <w:tc>
          <w:tcPr>
            <w:tcW w:w="805" w:type="dxa"/>
            <w:vAlign w:val="bottom"/>
          </w:tcPr>
          <w:p w14:paraId="0DA99776" w14:textId="75CDE22F"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6</w:t>
            </w:r>
          </w:p>
        </w:tc>
        <w:tc>
          <w:tcPr>
            <w:tcW w:w="1890" w:type="dxa"/>
            <w:noWrap/>
            <w:tcMar>
              <w:left w:w="0" w:type="dxa"/>
              <w:right w:w="0" w:type="dxa"/>
            </w:tcMar>
            <w:vAlign w:val="bottom"/>
          </w:tcPr>
          <w:p w14:paraId="61AAFBA7" w14:textId="5B81658B"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DTE</w:t>
            </w:r>
          </w:p>
        </w:tc>
        <w:tc>
          <w:tcPr>
            <w:tcW w:w="5130" w:type="dxa"/>
            <w:noWrap/>
            <w:vAlign w:val="bottom"/>
          </w:tcPr>
          <w:p w14:paraId="77850DB5" w14:textId="0E216196"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DTE Energy Company</w:t>
            </w:r>
          </w:p>
        </w:tc>
      </w:tr>
      <w:tr w:rsidR="00DD223F" w:rsidRPr="00B138FB" w14:paraId="5BEBE8C1" w14:textId="77777777" w:rsidTr="00B138FB">
        <w:trPr>
          <w:trHeight w:val="20"/>
          <w:jc w:val="center"/>
        </w:trPr>
        <w:tc>
          <w:tcPr>
            <w:tcW w:w="805" w:type="dxa"/>
            <w:vAlign w:val="bottom"/>
          </w:tcPr>
          <w:p w14:paraId="0E0A7963" w14:textId="766B2C51"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7</w:t>
            </w:r>
          </w:p>
        </w:tc>
        <w:tc>
          <w:tcPr>
            <w:tcW w:w="1890" w:type="dxa"/>
            <w:noWrap/>
            <w:tcMar>
              <w:left w:w="0" w:type="dxa"/>
              <w:right w:w="0" w:type="dxa"/>
            </w:tcMar>
            <w:vAlign w:val="bottom"/>
          </w:tcPr>
          <w:p w14:paraId="2F24C6B8" w14:textId="31A97409"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color w:val="000000"/>
                <w:sz w:val="22"/>
                <w:szCs w:val="22"/>
              </w:rPr>
              <w:t>DUK</w:t>
            </w:r>
          </w:p>
        </w:tc>
        <w:tc>
          <w:tcPr>
            <w:tcW w:w="5130" w:type="dxa"/>
            <w:noWrap/>
            <w:vAlign w:val="bottom"/>
          </w:tcPr>
          <w:p w14:paraId="30E85404" w14:textId="4CD54E1E"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Duke Energy Corporation</w:t>
            </w:r>
          </w:p>
        </w:tc>
      </w:tr>
      <w:tr w:rsidR="00DD223F" w:rsidRPr="00B138FB" w14:paraId="51F7E0BA" w14:textId="77777777" w:rsidTr="00B138FB">
        <w:trPr>
          <w:trHeight w:val="20"/>
          <w:jc w:val="center"/>
        </w:trPr>
        <w:tc>
          <w:tcPr>
            <w:tcW w:w="805" w:type="dxa"/>
            <w:vAlign w:val="bottom"/>
          </w:tcPr>
          <w:p w14:paraId="145B7735" w14:textId="08901A63"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8</w:t>
            </w:r>
          </w:p>
        </w:tc>
        <w:tc>
          <w:tcPr>
            <w:tcW w:w="1890" w:type="dxa"/>
            <w:noWrap/>
            <w:tcMar>
              <w:left w:w="0" w:type="dxa"/>
              <w:right w:w="0" w:type="dxa"/>
            </w:tcMar>
            <w:vAlign w:val="bottom"/>
          </w:tcPr>
          <w:p w14:paraId="044D2303" w14:textId="2E22AE5D"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EE</w:t>
            </w:r>
          </w:p>
        </w:tc>
        <w:tc>
          <w:tcPr>
            <w:tcW w:w="5130" w:type="dxa"/>
            <w:noWrap/>
            <w:vAlign w:val="bottom"/>
          </w:tcPr>
          <w:p w14:paraId="1E44D6F9" w14:textId="0387FAFC"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El Paso Electric Company</w:t>
            </w:r>
          </w:p>
        </w:tc>
      </w:tr>
      <w:tr w:rsidR="00DD223F" w:rsidRPr="00B138FB" w14:paraId="5708809B" w14:textId="77777777" w:rsidTr="00B138FB">
        <w:trPr>
          <w:trHeight w:val="20"/>
          <w:jc w:val="center"/>
        </w:trPr>
        <w:tc>
          <w:tcPr>
            <w:tcW w:w="805" w:type="dxa"/>
            <w:vAlign w:val="bottom"/>
          </w:tcPr>
          <w:p w14:paraId="4E3B9423" w14:textId="1B50FE4A"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9</w:t>
            </w:r>
          </w:p>
        </w:tc>
        <w:tc>
          <w:tcPr>
            <w:tcW w:w="1890" w:type="dxa"/>
            <w:noWrap/>
            <w:tcMar>
              <w:left w:w="0" w:type="dxa"/>
              <w:right w:w="0" w:type="dxa"/>
            </w:tcMar>
            <w:vAlign w:val="bottom"/>
          </w:tcPr>
          <w:p w14:paraId="2D752A58" w14:textId="12B436D1"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ES</w:t>
            </w:r>
          </w:p>
        </w:tc>
        <w:tc>
          <w:tcPr>
            <w:tcW w:w="5130" w:type="dxa"/>
            <w:noWrap/>
            <w:vAlign w:val="bottom"/>
          </w:tcPr>
          <w:p w14:paraId="02E64598" w14:textId="26A7BC48"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proofErr w:type="spellStart"/>
            <w:r w:rsidRPr="00B138FB">
              <w:rPr>
                <w:sz w:val="22"/>
                <w:szCs w:val="22"/>
              </w:rPr>
              <w:t>Eversource</w:t>
            </w:r>
            <w:proofErr w:type="spellEnd"/>
            <w:r w:rsidRPr="00B138FB">
              <w:rPr>
                <w:sz w:val="22"/>
                <w:szCs w:val="22"/>
              </w:rPr>
              <w:t xml:space="preserve"> Energy</w:t>
            </w:r>
          </w:p>
        </w:tc>
      </w:tr>
      <w:tr w:rsidR="00DD223F" w:rsidRPr="00B138FB" w14:paraId="4D85205D" w14:textId="77777777" w:rsidTr="00B138FB">
        <w:trPr>
          <w:trHeight w:val="20"/>
          <w:jc w:val="center"/>
        </w:trPr>
        <w:tc>
          <w:tcPr>
            <w:tcW w:w="805" w:type="dxa"/>
            <w:vAlign w:val="bottom"/>
          </w:tcPr>
          <w:p w14:paraId="78DC5C63" w14:textId="0D382AD0"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10</w:t>
            </w:r>
          </w:p>
        </w:tc>
        <w:tc>
          <w:tcPr>
            <w:tcW w:w="1890" w:type="dxa"/>
            <w:noWrap/>
            <w:tcMar>
              <w:left w:w="0" w:type="dxa"/>
              <w:right w:w="0" w:type="dxa"/>
            </w:tcMar>
            <w:vAlign w:val="bottom"/>
          </w:tcPr>
          <w:p w14:paraId="7C3A907A" w14:textId="0BEECD28"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color w:val="000000"/>
                <w:sz w:val="22"/>
                <w:szCs w:val="22"/>
              </w:rPr>
              <w:t>EXC</w:t>
            </w:r>
          </w:p>
        </w:tc>
        <w:tc>
          <w:tcPr>
            <w:tcW w:w="5130" w:type="dxa"/>
            <w:noWrap/>
            <w:vAlign w:val="bottom"/>
          </w:tcPr>
          <w:p w14:paraId="6DC584D0" w14:textId="63413771"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Exelon Corporation</w:t>
            </w:r>
          </w:p>
        </w:tc>
      </w:tr>
      <w:tr w:rsidR="00DD223F" w:rsidRPr="00B138FB" w14:paraId="41CCE5F1" w14:textId="77777777" w:rsidTr="00B138FB">
        <w:trPr>
          <w:trHeight w:val="20"/>
          <w:jc w:val="center"/>
        </w:trPr>
        <w:tc>
          <w:tcPr>
            <w:tcW w:w="805" w:type="dxa"/>
            <w:vAlign w:val="bottom"/>
          </w:tcPr>
          <w:p w14:paraId="4F237A86" w14:textId="3ECF1D71"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11</w:t>
            </w:r>
          </w:p>
        </w:tc>
        <w:tc>
          <w:tcPr>
            <w:tcW w:w="1890" w:type="dxa"/>
            <w:noWrap/>
            <w:tcMar>
              <w:left w:w="0" w:type="dxa"/>
              <w:right w:w="0" w:type="dxa"/>
            </w:tcMar>
            <w:vAlign w:val="bottom"/>
          </w:tcPr>
          <w:p w14:paraId="073772EB" w14:textId="57F8E7EE"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color w:val="000000"/>
                <w:sz w:val="22"/>
                <w:szCs w:val="22"/>
              </w:rPr>
              <w:t>FTS</w:t>
            </w:r>
          </w:p>
        </w:tc>
        <w:tc>
          <w:tcPr>
            <w:tcW w:w="5130" w:type="dxa"/>
            <w:noWrap/>
            <w:vAlign w:val="bottom"/>
          </w:tcPr>
          <w:p w14:paraId="754060C2" w14:textId="02E6754C"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Fortis Inc.</w:t>
            </w:r>
          </w:p>
        </w:tc>
      </w:tr>
      <w:tr w:rsidR="00DD223F" w:rsidRPr="00B138FB" w14:paraId="27C9106C" w14:textId="77777777" w:rsidTr="00B138FB">
        <w:trPr>
          <w:trHeight w:val="20"/>
          <w:jc w:val="center"/>
        </w:trPr>
        <w:tc>
          <w:tcPr>
            <w:tcW w:w="805" w:type="dxa"/>
            <w:vAlign w:val="bottom"/>
          </w:tcPr>
          <w:p w14:paraId="323B6CCB" w14:textId="2AA95484"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12</w:t>
            </w:r>
          </w:p>
        </w:tc>
        <w:tc>
          <w:tcPr>
            <w:tcW w:w="1890" w:type="dxa"/>
            <w:noWrap/>
            <w:tcMar>
              <w:left w:w="0" w:type="dxa"/>
              <w:right w:w="0" w:type="dxa"/>
            </w:tcMar>
            <w:vAlign w:val="bottom"/>
          </w:tcPr>
          <w:p w14:paraId="6C9E24F1" w14:textId="5E2EA44C"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IDA</w:t>
            </w:r>
          </w:p>
        </w:tc>
        <w:tc>
          <w:tcPr>
            <w:tcW w:w="5130" w:type="dxa"/>
            <w:noWrap/>
            <w:vAlign w:val="bottom"/>
          </w:tcPr>
          <w:p w14:paraId="09FC1BF4" w14:textId="3E61E096"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IDACORP, Inc.</w:t>
            </w:r>
          </w:p>
        </w:tc>
      </w:tr>
      <w:tr w:rsidR="00DD223F" w:rsidRPr="00B138FB" w14:paraId="6708C3E2" w14:textId="77777777" w:rsidTr="00B138FB">
        <w:trPr>
          <w:trHeight w:val="20"/>
          <w:jc w:val="center"/>
        </w:trPr>
        <w:tc>
          <w:tcPr>
            <w:tcW w:w="805" w:type="dxa"/>
            <w:vAlign w:val="bottom"/>
          </w:tcPr>
          <w:p w14:paraId="47526220" w14:textId="3D1C04F9"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13</w:t>
            </w:r>
          </w:p>
        </w:tc>
        <w:tc>
          <w:tcPr>
            <w:tcW w:w="1890" w:type="dxa"/>
            <w:noWrap/>
            <w:tcMar>
              <w:left w:w="0" w:type="dxa"/>
              <w:right w:w="0" w:type="dxa"/>
            </w:tcMar>
            <w:vAlign w:val="bottom"/>
          </w:tcPr>
          <w:p w14:paraId="6787BC39" w14:textId="4BF1B754"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NEE</w:t>
            </w:r>
          </w:p>
        </w:tc>
        <w:tc>
          <w:tcPr>
            <w:tcW w:w="5130" w:type="dxa"/>
            <w:noWrap/>
            <w:vAlign w:val="bottom"/>
          </w:tcPr>
          <w:p w14:paraId="5D4CD15D" w14:textId="1312ED61"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NextEra Energy, Inc.</w:t>
            </w:r>
          </w:p>
        </w:tc>
      </w:tr>
      <w:tr w:rsidR="00DD223F" w:rsidRPr="00B138FB" w14:paraId="75A9409D" w14:textId="77777777" w:rsidTr="00B138FB">
        <w:trPr>
          <w:trHeight w:val="20"/>
          <w:jc w:val="center"/>
        </w:trPr>
        <w:tc>
          <w:tcPr>
            <w:tcW w:w="805" w:type="dxa"/>
            <w:vAlign w:val="bottom"/>
          </w:tcPr>
          <w:p w14:paraId="7D737C64" w14:textId="76F7A70F"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14</w:t>
            </w:r>
          </w:p>
        </w:tc>
        <w:tc>
          <w:tcPr>
            <w:tcW w:w="1890" w:type="dxa"/>
            <w:noWrap/>
            <w:tcMar>
              <w:left w:w="0" w:type="dxa"/>
              <w:right w:w="0" w:type="dxa"/>
            </w:tcMar>
            <w:vAlign w:val="bottom"/>
          </w:tcPr>
          <w:p w14:paraId="564FB2E8" w14:textId="5829703D"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color w:val="000000"/>
                <w:sz w:val="22"/>
                <w:szCs w:val="22"/>
              </w:rPr>
              <w:t xml:space="preserve">NWE </w:t>
            </w:r>
          </w:p>
        </w:tc>
        <w:tc>
          <w:tcPr>
            <w:tcW w:w="5130" w:type="dxa"/>
            <w:noWrap/>
            <w:vAlign w:val="bottom"/>
          </w:tcPr>
          <w:p w14:paraId="4A8F4725" w14:textId="48C3B15F"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proofErr w:type="spellStart"/>
            <w:r w:rsidRPr="00B138FB">
              <w:rPr>
                <w:sz w:val="22"/>
                <w:szCs w:val="22"/>
              </w:rPr>
              <w:t>NorthWestern</w:t>
            </w:r>
            <w:proofErr w:type="spellEnd"/>
            <w:r w:rsidRPr="00B138FB">
              <w:rPr>
                <w:sz w:val="22"/>
                <w:szCs w:val="22"/>
              </w:rPr>
              <w:t xml:space="preserve"> Corporation</w:t>
            </w:r>
          </w:p>
        </w:tc>
      </w:tr>
      <w:tr w:rsidR="00DD223F" w:rsidRPr="00B138FB" w14:paraId="4A87B949" w14:textId="77777777" w:rsidTr="00B138FB">
        <w:trPr>
          <w:trHeight w:val="20"/>
          <w:jc w:val="center"/>
        </w:trPr>
        <w:tc>
          <w:tcPr>
            <w:tcW w:w="805" w:type="dxa"/>
            <w:vAlign w:val="bottom"/>
          </w:tcPr>
          <w:p w14:paraId="63EEA414" w14:textId="15D0EC27"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15</w:t>
            </w:r>
          </w:p>
        </w:tc>
        <w:tc>
          <w:tcPr>
            <w:tcW w:w="1890" w:type="dxa"/>
            <w:noWrap/>
            <w:tcMar>
              <w:left w:w="0" w:type="dxa"/>
              <w:right w:w="0" w:type="dxa"/>
            </w:tcMar>
            <w:vAlign w:val="bottom"/>
          </w:tcPr>
          <w:p w14:paraId="7920AFA2" w14:textId="167861DB"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OGE</w:t>
            </w:r>
          </w:p>
        </w:tc>
        <w:tc>
          <w:tcPr>
            <w:tcW w:w="5130" w:type="dxa"/>
            <w:noWrap/>
            <w:vAlign w:val="bottom"/>
          </w:tcPr>
          <w:p w14:paraId="75FEC991" w14:textId="234EC7F5"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OGE Energy Corp.</w:t>
            </w:r>
          </w:p>
        </w:tc>
      </w:tr>
      <w:tr w:rsidR="00DD223F" w:rsidRPr="00B138FB" w14:paraId="57399B0A" w14:textId="77777777" w:rsidTr="00B138FB">
        <w:trPr>
          <w:trHeight w:val="20"/>
          <w:jc w:val="center"/>
        </w:trPr>
        <w:tc>
          <w:tcPr>
            <w:tcW w:w="805" w:type="dxa"/>
            <w:vAlign w:val="bottom"/>
          </w:tcPr>
          <w:p w14:paraId="4C308E55" w14:textId="0B0057D5"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16</w:t>
            </w:r>
          </w:p>
        </w:tc>
        <w:tc>
          <w:tcPr>
            <w:tcW w:w="1890" w:type="dxa"/>
            <w:noWrap/>
            <w:vAlign w:val="bottom"/>
          </w:tcPr>
          <w:p w14:paraId="53DBF7DD" w14:textId="2059BABA"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OTTR</w:t>
            </w:r>
          </w:p>
        </w:tc>
        <w:tc>
          <w:tcPr>
            <w:tcW w:w="5130" w:type="dxa"/>
            <w:noWrap/>
            <w:vAlign w:val="bottom"/>
          </w:tcPr>
          <w:p w14:paraId="38C0CB07" w14:textId="2D5D384E"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Otter Tail Corporation</w:t>
            </w:r>
          </w:p>
        </w:tc>
      </w:tr>
      <w:tr w:rsidR="00DD223F" w:rsidRPr="00B138FB" w14:paraId="3424CA89" w14:textId="77777777" w:rsidTr="00B138FB">
        <w:trPr>
          <w:trHeight w:val="20"/>
          <w:jc w:val="center"/>
        </w:trPr>
        <w:tc>
          <w:tcPr>
            <w:tcW w:w="805" w:type="dxa"/>
            <w:vAlign w:val="bottom"/>
          </w:tcPr>
          <w:p w14:paraId="5DF231E6" w14:textId="27363AAE"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17</w:t>
            </w:r>
          </w:p>
        </w:tc>
        <w:tc>
          <w:tcPr>
            <w:tcW w:w="1890" w:type="dxa"/>
            <w:noWrap/>
            <w:vAlign w:val="bottom"/>
          </w:tcPr>
          <w:p w14:paraId="57FDC41F" w14:textId="6C45CDCB"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PNW</w:t>
            </w:r>
          </w:p>
        </w:tc>
        <w:tc>
          <w:tcPr>
            <w:tcW w:w="5130" w:type="dxa"/>
            <w:noWrap/>
            <w:vAlign w:val="bottom"/>
          </w:tcPr>
          <w:p w14:paraId="3D59ABE8" w14:textId="4CF4CD32"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Pinnacle West Capital Corporation</w:t>
            </w:r>
          </w:p>
        </w:tc>
      </w:tr>
      <w:tr w:rsidR="00DD223F" w:rsidRPr="00B138FB" w14:paraId="318E3981" w14:textId="77777777" w:rsidTr="00B138FB">
        <w:trPr>
          <w:trHeight w:val="20"/>
          <w:jc w:val="center"/>
        </w:trPr>
        <w:tc>
          <w:tcPr>
            <w:tcW w:w="805" w:type="dxa"/>
            <w:vAlign w:val="bottom"/>
          </w:tcPr>
          <w:p w14:paraId="268D21FB" w14:textId="6675F6CE"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18</w:t>
            </w:r>
          </w:p>
        </w:tc>
        <w:tc>
          <w:tcPr>
            <w:tcW w:w="1890" w:type="dxa"/>
            <w:noWrap/>
            <w:vAlign w:val="bottom"/>
          </w:tcPr>
          <w:p w14:paraId="027AA8CA" w14:textId="6670D918"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POR</w:t>
            </w:r>
          </w:p>
        </w:tc>
        <w:tc>
          <w:tcPr>
            <w:tcW w:w="5130" w:type="dxa"/>
            <w:noWrap/>
            <w:vAlign w:val="bottom"/>
          </w:tcPr>
          <w:p w14:paraId="36A9F7A5" w14:textId="12455712"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Portland General Electric Company</w:t>
            </w:r>
          </w:p>
        </w:tc>
      </w:tr>
      <w:tr w:rsidR="00DD223F" w:rsidRPr="00B138FB" w14:paraId="6021085A" w14:textId="77777777" w:rsidTr="00B138FB">
        <w:trPr>
          <w:trHeight w:val="20"/>
          <w:jc w:val="center"/>
        </w:trPr>
        <w:tc>
          <w:tcPr>
            <w:tcW w:w="805" w:type="dxa"/>
            <w:vAlign w:val="bottom"/>
          </w:tcPr>
          <w:p w14:paraId="0A5953FC" w14:textId="568A359F"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19</w:t>
            </w:r>
          </w:p>
        </w:tc>
        <w:tc>
          <w:tcPr>
            <w:tcW w:w="1890" w:type="dxa"/>
            <w:noWrap/>
            <w:vAlign w:val="bottom"/>
          </w:tcPr>
          <w:p w14:paraId="3840DC0F" w14:textId="092A0FDB"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color w:val="000000"/>
                <w:sz w:val="22"/>
                <w:szCs w:val="22"/>
              </w:rPr>
              <w:t>PEG</w:t>
            </w:r>
          </w:p>
        </w:tc>
        <w:tc>
          <w:tcPr>
            <w:tcW w:w="5130" w:type="dxa"/>
            <w:noWrap/>
            <w:vAlign w:val="bottom"/>
          </w:tcPr>
          <w:p w14:paraId="2B470F41" w14:textId="2DAEEE85"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Public Service Enterprise Group Incorporated</w:t>
            </w:r>
          </w:p>
        </w:tc>
      </w:tr>
      <w:tr w:rsidR="00DD223F" w:rsidRPr="00B138FB" w14:paraId="38404A44" w14:textId="77777777" w:rsidTr="00B138FB">
        <w:trPr>
          <w:trHeight w:val="20"/>
          <w:jc w:val="center"/>
        </w:trPr>
        <w:tc>
          <w:tcPr>
            <w:tcW w:w="805" w:type="dxa"/>
            <w:vAlign w:val="bottom"/>
          </w:tcPr>
          <w:p w14:paraId="773737B7" w14:textId="0F37E71C"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20</w:t>
            </w:r>
          </w:p>
        </w:tc>
        <w:tc>
          <w:tcPr>
            <w:tcW w:w="1890" w:type="dxa"/>
            <w:noWrap/>
            <w:vAlign w:val="bottom"/>
          </w:tcPr>
          <w:p w14:paraId="6E4A596E" w14:textId="2B01335E"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color w:val="000000"/>
                <w:sz w:val="22"/>
                <w:szCs w:val="22"/>
              </w:rPr>
              <w:t>WEC</w:t>
            </w:r>
          </w:p>
        </w:tc>
        <w:tc>
          <w:tcPr>
            <w:tcW w:w="5130" w:type="dxa"/>
            <w:noWrap/>
            <w:vAlign w:val="bottom"/>
          </w:tcPr>
          <w:p w14:paraId="3555D104" w14:textId="681C68D3"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WEC Energy Group, Inc.</w:t>
            </w:r>
          </w:p>
        </w:tc>
      </w:tr>
      <w:tr w:rsidR="00DD223F" w:rsidRPr="00B138FB" w14:paraId="52D69973" w14:textId="77777777" w:rsidTr="00B138FB">
        <w:trPr>
          <w:trHeight w:val="20"/>
          <w:jc w:val="center"/>
        </w:trPr>
        <w:tc>
          <w:tcPr>
            <w:tcW w:w="805" w:type="dxa"/>
            <w:vAlign w:val="bottom"/>
          </w:tcPr>
          <w:p w14:paraId="5CCB593D" w14:textId="6EA9E88C"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21</w:t>
            </w:r>
          </w:p>
        </w:tc>
        <w:tc>
          <w:tcPr>
            <w:tcW w:w="1890" w:type="dxa"/>
            <w:noWrap/>
            <w:vAlign w:val="bottom"/>
          </w:tcPr>
          <w:p w14:paraId="156DD4F1" w14:textId="24EE5207" w:rsidR="00DD223F" w:rsidRPr="00B138FB" w:rsidRDefault="00DD223F" w:rsidP="00B138FB">
            <w:pPr>
              <w:pStyle w:val="answer"/>
              <w:tabs>
                <w:tab w:val="left" w:pos="720"/>
              </w:tabs>
              <w:spacing w:before="100" w:beforeAutospacing="1" w:after="100" w:afterAutospacing="1" w:line="240" w:lineRule="auto"/>
              <w:ind w:left="0" w:right="0" w:firstLine="0"/>
              <w:jc w:val="center"/>
              <w:rPr>
                <w:sz w:val="22"/>
                <w:szCs w:val="22"/>
              </w:rPr>
            </w:pPr>
            <w:r w:rsidRPr="00B138FB">
              <w:rPr>
                <w:sz w:val="22"/>
                <w:szCs w:val="22"/>
              </w:rPr>
              <w:t>XEL</w:t>
            </w:r>
          </w:p>
        </w:tc>
        <w:tc>
          <w:tcPr>
            <w:tcW w:w="5130" w:type="dxa"/>
            <w:noWrap/>
            <w:vAlign w:val="bottom"/>
          </w:tcPr>
          <w:p w14:paraId="318EEAE8" w14:textId="65CD952E" w:rsidR="00DD223F" w:rsidRPr="00B138FB" w:rsidRDefault="00DD223F" w:rsidP="00B138FB">
            <w:pPr>
              <w:pStyle w:val="answer"/>
              <w:tabs>
                <w:tab w:val="left" w:pos="720"/>
              </w:tabs>
              <w:spacing w:before="100" w:beforeAutospacing="1" w:after="100" w:afterAutospacing="1" w:line="240" w:lineRule="auto"/>
              <w:ind w:left="0" w:right="0" w:firstLine="0"/>
              <w:jc w:val="left"/>
              <w:rPr>
                <w:sz w:val="22"/>
                <w:szCs w:val="22"/>
              </w:rPr>
            </w:pPr>
            <w:r w:rsidRPr="00B138FB">
              <w:rPr>
                <w:sz w:val="22"/>
                <w:szCs w:val="22"/>
              </w:rPr>
              <w:t>Xcel Energy Inc.</w:t>
            </w:r>
          </w:p>
        </w:tc>
      </w:tr>
    </w:tbl>
    <w:p w14:paraId="31727B2C" w14:textId="34C852E9" w:rsidR="007C538A" w:rsidRDefault="006B51BA" w:rsidP="00E90EAE">
      <w:pPr>
        <w:pStyle w:val="question"/>
        <w:spacing w:before="240"/>
      </w:pPr>
      <w:r>
        <w:t>Q.</w:t>
      </w:r>
      <w:r>
        <w:tab/>
      </w:r>
      <w:r w:rsidR="007C538A">
        <w:t xml:space="preserve">Are these the same companies that constitute the comparable group that </w:t>
      </w:r>
      <w:r w:rsidR="004E34DD">
        <w:t>CEHE’</w:t>
      </w:r>
      <w:r w:rsidR="007C538A">
        <w:t xml:space="preserve">s witness </w:t>
      </w:r>
      <w:r w:rsidR="00757F6C">
        <w:t xml:space="preserve">Mr. Robert </w:t>
      </w:r>
      <w:proofErr w:type="spellStart"/>
      <w:r w:rsidR="00757F6C">
        <w:t>Hevert</w:t>
      </w:r>
      <w:proofErr w:type="spellEnd"/>
      <w:r w:rsidR="007C538A">
        <w:t xml:space="preserve"> used for his analysis</w:t>
      </w:r>
      <w:r w:rsidR="007C538A" w:rsidRPr="00BA1BCA">
        <w:t>?</w:t>
      </w:r>
    </w:p>
    <w:p w14:paraId="3EDCCFEE" w14:textId="7011C376" w:rsidR="007C538A" w:rsidRPr="007C538A" w:rsidRDefault="007C538A" w:rsidP="003D0C59">
      <w:pPr>
        <w:pStyle w:val="answer"/>
        <w:spacing w:after="0"/>
        <w:ind w:right="0"/>
        <w:rPr>
          <w:b/>
        </w:rPr>
      </w:pPr>
      <w:r w:rsidRPr="007C538A">
        <w:t>A.</w:t>
      </w:r>
      <w:r w:rsidRPr="007C538A">
        <w:tab/>
      </w:r>
      <w:r>
        <w:tab/>
      </w:r>
      <w:r w:rsidRPr="007C538A">
        <w:t>No</w:t>
      </w:r>
      <w:r w:rsidR="00BD70D6">
        <w:t>, they are not the same</w:t>
      </w:r>
      <w:r w:rsidRPr="007C538A">
        <w:t>.</w:t>
      </w:r>
      <w:r w:rsidR="00AF10D6">
        <w:t xml:space="preserve"> </w:t>
      </w:r>
      <w:r w:rsidRPr="007C538A">
        <w:t xml:space="preserve"> </w:t>
      </w:r>
      <w:r w:rsidR="00BD70D6">
        <w:t xml:space="preserve">However, </w:t>
      </w:r>
      <w:r w:rsidR="001128FD">
        <w:t>17</w:t>
      </w:r>
      <w:r w:rsidR="00B138FB">
        <w:t xml:space="preserve"> of these companies are in Mr. </w:t>
      </w:r>
      <w:proofErr w:type="spellStart"/>
      <w:r w:rsidR="00B138FB">
        <w:t>Hevert’s</w:t>
      </w:r>
      <w:proofErr w:type="spellEnd"/>
      <w:r w:rsidR="00B138FB">
        <w:t xml:space="preserve"> comparable group</w:t>
      </w:r>
      <w:r w:rsidR="00572AFE">
        <w:t xml:space="preserve"> of 24 companies.</w:t>
      </w:r>
    </w:p>
    <w:p w14:paraId="09523AA5" w14:textId="087A1266" w:rsidR="00714786" w:rsidRDefault="006B51BA" w:rsidP="002457D8">
      <w:pPr>
        <w:pStyle w:val="question"/>
      </w:pPr>
      <w:r>
        <w:t>Q.</w:t>
      </w:r>
      <w:r>
        <w:tab/>
      </w:r>
      <w:r w:rsidR="007D2AB0" w:rsidRPr="007D2AB0">
        <w:t xml:space="preserve">Would you expect the composition of the comparable group </w:t>
      </w:r>
      <w:r w:rsidR="00B13AB9">
        <w:t>to</w:t>
      </w:r>
      <w:r w:rsidR="007D2AB0" w:rsidRPr="007D2AB0">
        <w:t xml:space="preserve"> be the same for every rate-of-return witness in a utility rate case?</w:t>
      </w:r>
    </w:p>
    <w:p w14:paraId="650502AE" w14:textId="20729D62" w:rsidR="004134AD" w:rsidRPr="004134AD" w:rsidRDefault="00714786" w:rsidP="003D0C59">
      <w:pPr>
        <w:pStyle w:val="answer"/>
        <w:spacing w:after="0"/>
        <w:ind w:right="0"/>
        <w:rPr>
          <w:b/>
        </w:rPr>
      </w:pPr>
      <w:r w:rsidRPr="007C538A">
        <w:t>A.</w:t>
      </w:r>
      <w:r w:rsidRPr="007C538A">
        <w:tab/>
      </w:r>
      <w:r>
        <w:tab/>
      </w:r>
      <w:r w:rsidR="007D2AB0">
        <w:t>No.</w:t>
      </w:r>
      <w:r w:rsidR="00C45D83">
        <w:t xml:space="preserve"> </w:t>
      </w:r>
      <w:r w:rsidR="007D2AB0">
        <w:t xml:space="preserve"> </w:t>
      </w:r>
      <w:r w:rsidR="007D2AB0" w:rsidRPr="007D2AB0">
        <w:t xml:space="preserve">Differences in selection criteria will lead to different comparable groups.  </w:t>
      </w:r>
      <w:r w:rsidR="005E27F8">
        <w:t>In utility rate cases, i</w:t>
      </w:r>
      <w:r w:rsidR="007D2AB0" w:rsidRPr="007D2AB0">
        <w:t>t is common for the composition of rate-of-return witnesses’ comparable groups to differ</w:t>
      </w:r>
      <w:r w:rsidR="003D0C59">
        <w:t>.</w:t>
      </w:r>
    </w:p>
    <w:p w14:paraId="7D991EF6" w14:textId="4FF03069" w:rsidR="00E77D33" w:rsidRPr="00D9384D" w:rsidRDefault="00894F64" w:rsidP="00D9384D">
      <w:pPr>
        <w:pStyle w:val="Heading2"/>
        <w:numPr>
          <w:ilvl w:val="0"/>
          <w:numId w:val="19"/>
        </w:numPr>
      </w:pPr>
      <w:bookmarkStart w:id="17" w:name="_Toc10117670"/>
      <w:r w:rsidRPr="00D9384D">
        <w:t>D</w:t>
      </w:r>
      <w:r w:rsidR="00706DF1">
        <w:t>CF</w:t>
      </w:r>
      <w:r w:rsidRPr="00D9384D">
        <w:t xml:space="preserve"> ANALYSIS</w:t>
      </w:r>
      <w:bookmarkEnd w:id="17"/>
    </w:p>
    <w:p w14:paraId="60AE57C0" w14:textId="769B059C" w:rsidR="007D2AB0" w:rsidRDefault="00894F64" w:rsidP="002457D8">
      <w:pPr>
        <w:pStyle w:val="question"/>
      </w:pPr>
      <w:r w:rsidRPr="008A285A">
        <w:t>Q.</w:t>
      </w:r>
      <w:r w:rsidRPr="008A285A">
        <w:tab/>
        <w:t xml:space="preserve"> </w:t>
      </w:r>
      <w:r w:rsidR="0024526C" w:rsidRPr="0024526C">
        <w:t>Please explain the DCF methodology.</w:t>
      </w:r>
    </w:p>
    <w:p w14:paraId="1B695591" w14:textId="40E39D22" w:rsidR="007D2AB0" w:rsidRDefault="007D2AB0" w:rsidP="007D2AB0">
      <w:pPr>
        <w:pStyle w:val="answer"/>
        <w:spacing w:after="0"/>
        <w:ind w:right="0"/>
      </w:pPr>
      <w:r w:rsidRPr="007C538A">
        <w:t>A.</w:t>
      </w:r>
      <w:r w:rsidRPr="007C538A">
        <w:tab/>
      </w:r>
      <w:r>
        <w:tab/>
      </w:r>
      <w:r w:rsidR="00650663" w:rsidRPr="00650663">
        <w:t>The DCF methodology derives fr</w:t>
      </w:r>
      <w:r w:rsidR="00650663">
        <w:t xml:space="preserve">om the Gordon dividend </w:t>
      </w:r>
      <w:r w:rsidR="00650663" w:rsidRPr="00650663">
        <w:t xml:space="preserve">growth model. </w:t>
      </w:r>
      <w:r w:rsidR="00644458">
        <w:t xml:space="preserve"> </w:t>
      </w:r>
      <w:r w:rsidR="00650663" w:rsidRPr="00650663">
        <w:t>In its original form, th</w:t>
      </w:r>
      <w:r w:rsidR="00650663">
        <w:t>is</w:t>
      </w:r>
      <w:r w:rsidR="00650663" w:rsidRPr="00650663">
        <w:t xml:space="preserve"> model is used </w:t>
      </w:r>
      <w:r w:rsidR="00C75CA3">
        <w:t xml:space="preserve">to </w:t>
      </w:r>
      <w:r w:rsidR="00650663" w:rsidRPr="00650663">
        <w:t>determin</w:t>
      </w:r>
      <w:r w:rsidR="00C75CA3">
        <w:t>e</w:t>
      </w:r>
      <w:r w:rsidR="00650663" w:rsidRPr="00650663">
        <w:t xml:space="preserve"> the value of a share of common stock.  The theory underlying the model holds that the price of a share is equal to the present value of all future dividends</w:t>
      </w:r>
      <w:r w:rsidR="00650663">
        <w:t>, which are assumed to grow at a constant rate over time</w:t>
      </w:r>
      <w:r w:rsidR="00650663" w:rsidRPr="00650663">
        <w:t>.</w:t>
      </w:r>
      <w:r w:rsidR="00644458">
        <w:t xml:space="preserve"> </w:t>
      </w:r>
      <w:r w:rsidR="00650663" w:rsidRPr="00650663">
        <w:t xml:space="preserve"> It is expressed mathematically as follows:</w:t>
      </w:r>
    </w:p>
    <w:p w14:paraId="39651F6C" w14:textId="528F5C00" w:rsidR="00650663" w:rsidRPr="00573537" w:rsidRDefault="00650663" w:rsidP="00650663">
      <w:pPr>
        <w:pStyle w:val="PlainText"/>
        <w:keepNext/>
        <w:keepLines/>
        <w:tabs>
          <w:tab w:val="left" w:pos="2340"/>
          <w:tab w:val="left" w:pos="3690"/>
          <w:tab w:val="left" w:pos="5490"/>
        </w:tabs>
        <w:jc w:val="both"/>
        <w:rPr>
          <w:rFonts w:ascii="Times New Roman" w:hAnsi="Times New Roman"/>
          <w:sz w:val="24"/>
          <w:szCs w:val="24"/>
        </w:rPr>
      </w:pPr>
      <w:r w:rsidRPr="00573537">
        <w:rPr>
          <w:rFonts w:ascii="Times New Roman" w:hAnsi="Times New Roman"/>
          <w:sz w:val="24"/>
          <w:szCs w:val="24"/>
        </w:rPr>
        <w:t xml:space="preserve">          </w:t>
      </w:r>
      <w:r w:rsidR="00573537">
        <w:rPr>
          <w:rFonts w:ascii="Times New Roman" w:hAnsi="Times New Roman"/>
          <w:sz w:val="24"/>
          <w:szCs w:val="24"/>
        </w:rPr>
        <w:t xml:space="preserve">                              </w:t>
      </w:r>
      <w:r w:rsidRPr="00573537">
        <w:rPr>
          <w:rFonts w:ascii="Times New Roman" w:hAnsi="Times New Roman"/>
          <w:sz w:val="24"/>
          <w:szCs w:val="24"/>
        </w:rPr>
        <w:t>D</w:t>
      </w:r>
      <w:r w:rsidRPr="00573537">
        <w:rPr>
          <w:rFonts w:ascii="Times New Roman" w:hAnsi="Times New Roman"/>
          <w:sz w:val="24"/>
          <w:szCs w:val="24"/>
          <w:vertAlign w:val="subscript"/>
        </w:rPr>
        <w:t>1</w:t>
      </w:r>
      <w:r w:rsidR="00492D75" w:rsidRPr="00573537">
        <w:rPr>
          <w:rFonts w:ascii="Times New Roman" w:hAnsi="Times New Roman"/>
          <w:sz w:val="24"/>
          <w:szCs w:val="24"/>
          <w:vertAlign w:val="subscript"/>
        </w:rPr>
        <w:t xml:space="preserve">        </w:t>
      </w:r>
      <w:r w:rsidRPr="00573537">
        <w:rPr>
          <w:rFonts w:ascii="Times New Roman" w:hAnsi="Times New Roman"/>
          <w:sz w:val="24"/>
          <w:szCs w:val="24"/>
          <w:vertAlign w:val="subscript"/>
        </w:rPr>
        <w:t xml:space="preserve">              </w:t>
      </w:r>
      <w:r w:rsidR="00492D75" w:rsidRPr="00573537">
        <w:rPr>
          <w:rFonts w:ascii="Times New Roman" w:hAnsi="Times New Roman"/>
          <w:sz w:val="24"/>
          <w:szCs w:val="24"/>
          <w:vertAlign w:val="subscript"/>
        </w:rPr>
        <w:t xml:space="preserve">   </w:t>
      </w:r>
      <w:r w:rsidR="002C1A5B" w:rsidRPr="00573537">
        <w:rPr>
          <w:rFonts w:ascii="Times New Roman" w:hAnsi="Times New Roman"/>
          <w:sz w:val="24"/>
          <w:szCs w:val="24"/>
          <w:vertAlign w:val="subscript"/>
        </w:rPr>
        <w:t xml:space="preserve"> </w:t>
      </w:r>
      <w:r w:rsidRPr="00573537">
        <w:rPr>
          <w:rFonts w:ascii="Times New Roman" w:hAnsi="Times New Roman"/>
          <w:sz w:val="24"/>
          <w:szCs w:val="24"/>
        </w:rPr>
        <w:t>D</w:t>
      </w:r>
      <w:r w:rsidRPr="00573537">
        <w:rPr>
          <w:rFonts w:ascii="Times New Roman" w:hAnsi="Times New Roman"/>
          <w:sz w:val="24"/>
          <w:szCs w:val="24"/>
          <w:vertAlign w:val="subscript"/>
        </w:rPr>
        <w:t xml:space="preserve">2                                   </w:t>
      </w:r>
      <w:r w:rsidR="00492D75" w:rsidRPr="00573537">
        <w:rPr>
          <w:rFonts w:ascii="Times New Roman" w:hAnsi="Times New Roman"/>
          <w:sz w:val="24"/>
          <w:szCs w:val="24"/>
          <w:vertAlign w:val="subscript"/>
        </w:rPr>
        <w:t xml:space="preserve"> </w:t>
      </w:r>
      <w:r w:rsidR="002C1A5B" w:rsidRPr="00573537">
        <w:rPr>
          <w:rFonts w:ascii="Times New Roman" w:hAnsi="Times New Roman"/>
          <w:sz w:val="24"/>
          <w:szCs w:val="24"/>
          <w:vertAlign w:val="subscript"/>
        </w:rPr>
        <w:t xml:space="preserve"> </w:t>
      </w:r>
      <w:proofErr w:type="spellStart"/>
      <w:r w:rsidRPr="00573537">
        <w:rPr>
          <w:rFonts w:ascii="Times New Roman" w:hAnsi="Times New Roman"/>
          <w:sz w:val="24"/>
          <w:szCs w:val="24"/>
        </w:rPr>
        <w:t>D</w:t>
      </w:r>
      <w:r w:rsidRPr="00573537">
        <w:rPr>
          <w:rFonts w:ascii="Times New Roman" w:hAnsi="Times New Roman"/>
          <w:sz w:val="24"/>
          <w:szCs w:val="24"/>
          <w:vertAlign w:val="subscript"/>
        </w:rPr>
        <w:t>n</w:t>
      </w:r>
      <w:proofErr w:type="spellEnd"/>
    </w:p>
    <w:p w14:paraId="77734F71" w14:textId="2D0097AA" w:rsidR="00650663" w:rsidRPr="00573537" w:rsidRDefault="00650663" w:rsidP="00650663">
      <w:pPr>
        <w:pStyle w:val="PlainText"/>
        <w:keepNext/>
        <w:keepLines/>
        <w:jc w:val="both"/>
        <w:rPr>
          <w:rFonts w:ascii="Times New Roman" w:hAnsi="Times New Roman"/>
          <w:sz w:val="24"/>
          <w:szCs w:val="24"/>
        </w:rPr>
      </w:pPr>
      <w:r w:rsidRPr="00573537">
        <w:rPr>
          <w:rFonts w:ascii="Times New Roman" w:hAnsi="Times New Roman"/>
          <w:sz w:val="24"/>
          <w:szCs w:val="24"/>
        </w:rPr>
        <w:tab/>
      </w:r>
      <w:r w:rsidRPr="00573537">
        <w:rPr>
          <w:rFonts w:ascii="Times New Roman" w:hAnsi="Times New Roman"/>
          <w:sz w:val="24"/>
          <w:szCs w:val="24"/>
        </w:rPr>
        <w:tab/>
      </w:r>
      <w:proofErr w:type="gramStart"/>
      <w:r w:rsidRPr="00573537">
        <w:rPr>
          <w:rFonts w:ascii="Times New Roman" w:hAnsi="Times New Roman"/>
          <w:sz w:val="24"/>
          <w:szCs w:val="24"/>
        </w:rPr>
        <w:t>P</w:t>
      </w:r>
      <w:r w:rsidRPr="00573537">
        <w:rPr>
          <w:rFonts w:ascii="Times New Roman" w:hAnsi="Times New Roman"/>
          <w:sz w:val="24"/>
          <w:szCs w:val="24"/>
          <w:vertAlign w:val="subscript"/>
        </w:rPr>
        <w:t xml:space="preserve">o </w:t>
      </w:r>
      <w:r w:rsidRPr="00573537">
        <w:rPr>
          <w:rFonts w:ascii="Times New Roman" w:hAnsi="Times New Roman"/>
          <w:sz w:val="24"/>
          <w:szCs w:val="24"/>
        </w:rPr>
        <w:t xml:space="preserve"> =</w:t>
      </w:r>
      <w:proofErr w:type="gramEnd"/>
      <w:r w:rsidRPr="00573537">
        <w:rPr>
          <w:rFonts w:ascii="Times New Roman" w:hAnsi="Times New Roman"/>
          <w:sz w:val="24"/>
          <w:szCs w:val="24"/>
        </w:rPr>
        <w:t xml:space="preserve"> </w:t>
      </w:r>
      <w:r w:rsidR="00492D75" w:rsidRPr="00573537">
        <w:rPr>
          <w:rFonts w:ascii="Times New Roman" w:hAnsi="Times New Roman"/>
          <w:sz w:val="24"/>
          <w:szCs w:val="24"/>
        </w:rPr>
        <w:t xml:space="preserve">   </w:t>
      </w:r>
      <w:r w:rsidRPr="00573537">
        <w:rPr>
          <w:rFonts w:ascii="Times New Roman" w:hAnsi="Times New Roman"/>
          <w:sz w:val="24"/>
          <w:szCs w:val="24"/>
        </w:rPr>
        <w:t xml:space="preserve">----------- </w:t>
      </w:r>
      <w:r w:rsidR="002C1A5B" w:rsidRPr="00573537">
        <w:rPr>
          <w:rFonts w:ascii="Times New Roman" w:hAnsi="Times New Roman"/>
          <w:sz w:val="24"/>
          <w:szCs w:val="24"/>
        </w:rPr>
        <w:t xml:space="preserve"> </w:t>
      </w:r>
      <w:r w:rsidRPr="00573537">
        <w:rPr>
          <w:rFonts w:ascii="Times New Roman" w:hAnsi="Times New Roman"/>
          <w:sz w:val="24"/>
          <w:szCs w:val="24"/>
        </w:rPr>
        <w:t xml:space="preserve">+  ----------- </w:t>
      </w:r>
      <w:r w:rsidR="002C1A5B" w:rsidRPr="00573537">
        <w:rPr>
          <w:rFonts w:ascii="Times New Roman" w:hAnsi="Times New Roman"/>
          <w:sz w:val="24"/>
          <w:szCs w:val="24"/>
        </w:rPr>
        <w:t xml:space="preserve"> </w:t>
      </w:r>
      <w:r w:rsidRPr="00573537">
        <w:rPr>
          <w:rFonts w:ascii="Times New Roman" w:hAnsi="Times New Roman"/>
          <w:sz w:val="24"/>
          <w:szCs w:val="24"/>
        </w:rPr>
        <w:t xml:space="preserve">+ . . . + </w:t>
      </w:r>
      <w:r w:rsidR="00492D75" w:rsidRPr="00573537">
        <w:rPr>
          <w:rFonts w:ascii="Times New Roman" w:hAnsi="Times New Roman"/>
          <w:sz w:val="24"/>
          <w:szCs w:val="24"/>
        </w:rPr>
        <w:t>-----------</w:t>
      </w:r>
    </w:p>
    <w:p w14:paraId="1DBBA0C2" w14:textId="57DB0109" w:rsidR="00650663" w:rsidRPr="00573537" w:rsidRDefault="00492D75" w:rsidP="00463E02">
      <w:pPr>
        <w:pStyle w:val="PlainText"/>
        <w:tabs>
          <w:tab w:val="left" w:pos="2070"/>
          <w:tab w:val="left" w:pos="3420"/>
          <w:tab w:val="left" w:pos="5310"/>
        </w:tabs>
        <w:spacing w:after="120" w:line="480" w:lineRule="auto"/>
        <w:ind w:left="720" w:hanging="720"/>
        <w:jc w:val="both"/>
        <w:rPr>
          <w:rFonts w:ascii="Times New Roman" w:hAnsi="Times New Roman"/>
          <w:sz w:val="24"/>
          <w:szCs w:val="24"/>
        </w:rPr>
      </w:pPr>
      <w:r w:rsidRPr="00573537">
        <w:rPr>
          <w:rFonts w:ascii="Times New Roman" w:hAnsi="Times New Roman"/>
          <w:sz w:val="24"/>
          <w:szCs w:val="24"/>
        </w:rPr>
        <w:tab/>
      </w:r>
      <w:r w:rsidRPr="00573537">
        <w:rPr>
          <w:rFonts w:ascii="Times New Roman" w:hAnsi="Times New Roman"/>
          <w:sz w:val="24"/>
          <w:szCs w:val="24"/>
        </w:rPr>
        <w:tab/>
      </w:r>
      <w:r w:rsidR="002C1A5B" w:rsidRPr="00573537">
        <w:rPr>
          <w:rFonts w:ascii="Times New Roman" w:hAnsi="Times New Roman"/>
          <w:sz w:val="24"/>
          <w:szCs w:val="24"/>
        </w:rPr>
        <w:t xml:space="preserve">  </w:t>
      </w:r>
      <w:r w:rsidR="00650663" w:rsidRPr="00573537">
        <w:rPr>
          <w:rFonts w:ascii="Times New Roman" w:hAnsi="Times New Roman"/>
          <w:sz w:val="24"/>
          <w:szCs w:val="24"/>
        </w:rPr>
        <w:t>(1 + k</w:t>
      </w:r>
      <w:proofErr w:type="gramStart"/>
      <w:r w:rsidR="00650663" w:rsidRPr="00573537">
        <w:rPr>
          <w:rFonts w:ascii="Times New Roman" w:hAnsi="Times New Roman"/>
          <w:sz w:val="24"/>
          <w:szCs w:val="24"/>
        </w:rPr>
        <w:t>)</w:t>
      </w:r>
      <w:r w:rsidR="00650663" w:rsidRPr="00573537">
        <w:rPr>
          <w:rFonts w:ascii="Times New Roman" w:hAnsi="Times New Roman"/>
          <w:sz w:val="24"/>
          <w:szCs w:val="24"/>
          <w:vertAlign w:val="superscript"/>
        </w:rPr>
        <w:t>1</w:t>
      </w:r>
      <w:proofErr w:type="gramEnd"/>
      <w:r w:rsidR="00650663" w:rsidRPr="00573537">
        <w:rPr>
          <w:rFonts w:ascii="Times New Roman" w:hAnsi="Times New Roman"/>
          <w:sz w:val="24"/>
          <w:szCs w:val="24"/>
          <w:vertAlign w:val="superscript"/>
        </w:rPr>
        <w:t xml:space="preserve">           </w:t>
      </w:r>
      <w:r w:rsidR="002C1A5B" w:rsidRPr="00573537">
        <w:rPr>
          <w:rFonts w:ascii="Times New Roman" w:hAnsi="Times New Roman"/>
          <w:sz w:val="24"/>
          <w:szCs w:val="24"/>
          <w:vertAlign w:val="superscript"/>
        </w:rPr>
        <w:t xml:space="preserve"> </w:t>
      </w:r>
      <w:r w:rsidR="00650663" w:rsidRPr="00573537">
        <w:rPr>
          <w:rFonts w:ascii="Times New Roman" w:hAnsi="Times New Roman"/>
          <w:sz w:val="24"/>
          <w:szCs w:val="24"/>
        </w:rPr>
        <w:t xml:space="preserve"> (1 + k)</w:t>
      </w:r>
      <w:r w:rsidR="00650663" w:rsidRPr="00573537">
        <w:rPr>
          <w:rFonts w:ascii="Times New Roman" w:hAnsi="Times New Roman"/>
          <w:sz w:val="24"/>
          <w:szCs w:val="24"/>
          <w:vertAlign w:val="superscript"/>
        </w:rPr>
        <w:t xml:space="preserve">2                     </w:t>
      </w:r>
      <w:r w:rsidRPr="00573537">
        <w:rPr>
          <w:rFonts w:ascii="Times New Roman" w:hAnsi="Times New Roman"/>
          <w:sz w:val="24"/>
          <w:szCs w:val="24"/>
          <w:vertAlign w:val="superscript"/>
        </w:rPr>
        <w:t xml:space="preserve">   </w:t>
      </w:r>
      <w:r w:rsidR="002C1A5B" w:rsidRPr="00573537">
        <w:rPr>
          <w:rFonts w:ascii="Times New Roman" w:hAnsi="Times New Roman"/>
          <w:sz w:val="24"/>
          <w:szCs w:val="24"/>
          <w:vertAlign w:val="superscript"/>
        </w:rPr>
        <w:t xml:space="preserve"> </w:t>
      </w:r>
      <w:r w:rsidR="00650663" w:rsidRPr="00573537">
        <w:rPr>
          <w:rFonts w:ascii="Times New Roman" w:hAnsi="Times New Roman"/>
          <w:sz w:val="24"/>
          <w:szCs w:val="24"/>
          <w:vertAlign w:val="superscript"/>
        </w:rPr>
        <w:t xml:space="preserve"> </w:t>
      </w:r>
      <w:r w:rsidR="00650663" w:rsidRPr="00573537">
        <w:rPr>
          <w:rFonts w:ascii="Times New Roman" w:hAnsi="Times New Roman"/>
          <w:sz w:val="24"/>
          <w:szCs w:val="24"/>
        </w:rPr>
        <w:t>(1 + k)</w:t>
      </w:r>
      <w:r w:rsidR="00650663" w:rsidRPr="00573537">
        <w:rPr>
          <w:rFonts w:ascii="Times New Roman" w:hAnsi="Times New Roman"/>
          <w:sz w:val="24"/>
          <w:szCs w:val="24"/>
          <w:vertAlign w:val="superscript"/>
        </w:rPr>
        <w:t>n</w:t>
      </w:r>
    </w:p>
    <w:p w14:paraId="4212EBF2" w14:textId="069D8A26" w:rsidR="00650663" w:rsidRPr="00E6380B" w:rsidRDefault="00650663" w:rsidP="00650663">
      <w:pPr>
        <w:pStyle w:val="PlainText"/>
        <w:spacing w:line="480" w:lineRule="auto"/>
        <w:jc w:val="both"/>
        <w:rPr>
          <w:rFonts w:ascii="Times New Roman" w:hAnsi="Times New Roman"/>
          <w:sz w:val="24"/>
          <w:szCs w:val="24"/>
        </w:rPr>
      </w:pPr>
      <w:r w:rsidRPr="002C1A5B">
        <w:rPr>
          <w:rFonts w:ascii="Times New Roman" w:hAnsi="Times New Roman"/>
          <w:sz w:val="22"/>
          <w:szCs w:val="22"/>
        </w:rPr>
        <w:tab/>
      </w:r>
      <w:proofErr w:type="gramStart"/>
      <w:r w:rsidRPr="00E6380B">
        <w:rPr>
          <w:rFonts w:ascii="Times New Roman" w:hAnsi="Times New Roman"/>
          <w:sz w:val="24"/>
          <w:szCs w:val="24"/>
        </w:rPr>
        <w:t>where</w:t>
      </w:r>
      <w:proofErr w:type="gramEnd"/>
      <w:r w:rsidRPr="00E6380B">
        <w:rPr>
          <w:rFonts w:ascii="Times New Roman" w:hAnsi="Times New Roman"/>
          <w:sz w:val="24"/>
          <w:szCs w:val="24"/>
        </w:rPr>
        <w:t>:</w:t>
      </w:r>
      <w:r w:rsidRPr="00E6380B">
        <w:rPr>
          <w:rFonts w:ascii="Times New Roman" w:hAnsi="Times New Roman"/>
          <w:sz w:val="24"/>
          <w:szCs w:val="24"/>
        </w:rPr>
        <w:tab/>
        <w:t>P</w:t>
      </w:r>
      <w:r w:rsidRPr="00E6380B">
        <w:rPr>
          <w:rFonts w:ascii="Times New Roman" w:hAnsi="Times New Roman"/>
          <w:sz w:val="24"/>
          <w:szCs w:val="24"/>
          <w:vertAlign w:val="subscript"/>
        </w:rPr>
        <w:t>o</w:t>
      </w:r>
      <w:r w:rsidR="00FC6C0B">
        <w:rPr>
          <w:rFonts w:ascii="Times New Roman" w:hAnsi="Times New Roman"/>
          <w:sz w:val="24"/>
          <w:szCs w:val="24"/>
          <w:vertAlign w:val="subscript"/>
        </w:rPr>
        <w:t xml:space="preserve">   </w:t>
      </w:r>
      <w:r w:rsidRPr="00E6380B">
        <w:rPr>
          <w:rFonts w:ascii="Times New Roman" w:hAnsi="Times New Roman"/>
          <w:sz w:val="24"/>
          <w:szCs w:val="24"/>
        </w:rPr>
        <w:t>= current share price;</w:t>
      </w:r>
    </w:p>
    <w:p w14:paraId="6AF288F7" w14:textId="5E33C1F8" w:rsidR="00650663" w:rsidRPr="00E6380B" w:rsidRDefault="00650663" w:rsidP="00650663">
      <w:pPr>
        <w:pStyle w:val="PlainText"/>
        <w:spacing w:line="480" w:lineRule="auto"/>
        <w:jc w:val="both"/>
        <w:rPr>
          <w:rFonts w:ascii="Times New Roman" w:hAnsi="Times New Roman"/>
          <w:sz w:val="24"/>
          <w:szCs w:val="24"/>
        </w:rPr>
      </w:pPr>
      <w:r w:rsidRPr="00E6380B">
        <w:rPr>
          <w:rFonts w:ascii="Times New Roman" w:hAnsi="Times New Roman"/>
          <w:sz w:val="24"/>
          <w:szCs w:val="24"/>
        </w:rPr>
        <w:tab/>
        <w:t xml:space="preserve">    </w:t>
      </w:r>
      <w:r w:rsidRPr="00E6380B">
        <w:rPr>
          <w:rFonts w:ascii="Times New Roman" w:hAnsi="Times New Roman"/>
          <w:sz w:val="24"/>
          <w:szCs w:val="24"/>
        </w:rPr>
        <w:tab/>
      </w:r>
      <w:proofErr w:type="spellStart"/>
      <w:proofErr w:type="gramStart"/>
      <w:r w:rsidRPr="00E6380B">
        <w:rPr>
          <w:rFonts w:ascii="Times New Roman" w:hAnsi="Times New Roman"/>
          <w:sz w:val="24"/>
          <w:szCs w:val="24"/>
        </w:rPr>
        <w:t>D</w:t>
      </w:r>
      <w:r w:rsidRPr="00E6380B">
        <w:rPr>
          <w:rFonts w:ascii="Times New Roman" w:hAnsi="Times New Roman"/>
          <w:sz w:val="24"/>
          <w:szCs w:val="24"/>
          <w:vertAlign w:val="subscript"/>
        </w:rPr>
        <w:t>n</w:t>
      </w:r>
      <w:proofErr w:type="spellEnd"/>
      <w:r w:rsidRPr="00E6380B">
        <w:rPr>
          <w:rFonts w:ascii="Times New Roman" w:hAnsi="Times New Roman"/>
          <w:sz w:val="24"/>
          <w:szCs w:val="24"/>
          <w:vertAlign w:val="subscript"/>
        </w:rPr>
        <w:t xml:space="preserve"> </w:t>
      </w:r>
      <w:r w:rsidR="00FC6C0B">
        <w:rPr>
          <w:rFonts w:ascii="Times New Roman" w:hAnsi="Times New Roman"/>
          <w:sz w:val="24"/>
          <w:szCs w:val="24"/>
          <w:vertAlign w:val="subscript"/>
        </w:rPr>
        <w:t xml:space="preserve"> </w:t>
      </w:r>
      <w:r w:rsidRPr="00E6380B">
        <w:rPr>
          <w:rFonts w:ascii="Times New Roman" w:hAnsi="Times New Roman"/>
          <w:sz w:val="24"/>
          <w:szCs w:val="24"/>
        </w:rPr>
        <w:t>=</w:t>
      </w:r>
      <w:proofErr w:type="gramEnd"/>
      <w:r w:rsidRPr="00E6380B">
        <w:rPr>
          <w:rFonts w:ascii="Times New Roman" w:hAnsi="Times New Roman"/>
          <w:sz w:val="24"/>
          <w:szCs w:val="24"/>
        </w:rPr>
        <w:t xml:space="preserve"> expected dividend in year n;</w:t>
      </w:r>
    </w:p>
    <w:p w14:paraId="757D54B4" w14:textId="51E31EB0" w:rsidR="00650663" w:rsidRPr="00E6380B" w:rsidRDefault="00650663" w:rsidP="00650663">
      <w:pPr>
        <w:pStyle w:val="PlainText"/>
        <w:spacing w:line="480" w:lineRule="auto"/>
        <w:jc w:val="both"/>
        <w:rPr>
          <w:rFonts w:ascii="Times New Roman" w:hAnsi="Times New Roman"/>
          <w:sz w:val="24"/>
          <w:szCs w:val="24"/>
        </w:rPr>
      </w:pPr>
      <w:r w:rsidRPr="00E6380B">
        <w:rPr>
          <w:rFonts w:ascii="Times New Roman" w:hAnsi="Times New Roman"/>
          <w:sz w:val="24"/>
          <w:szCs w:val="24"/>
        </w:rPr>
        <w:tab/>
        <w:t xml:space="preserve">     </w:t>
      </w:r>
      <w:r w:rsidRPr="00E6380B">
        <w:rPr>
          <w:rFonts w:ascii="Times New Roman" w:hAnsi="Times New Roman"/>
          <w:sz w:val="24"/>
          <w:szCs w:val="24"/>
        </w:rPr>
        <w:tab/>
        <w:t xml:space="preserve">k </w:t>
      </w:r>
      <w:r w:rsidR="00FC6C0B">
        <w:rPr>
          <w:rFonts w:ascii="Times New Roman" w:hAnsi="Times New Roman"/>
          <w:sz w:val="24"/>
          <w:szCs w:val="24"/>
        </w:rPr>
        <w:t xml:space="preserve">  </w:t>
      </w:r>
      <w:r w:rsidRPr="00E6380B">
        <w:rPr>
          <w:rFonts w:ascii="Times New Roman" w:hAnsi="Times New Roman"/>
          <w:sz w:val="24"/>
          <w:szCs w:val="24"/>
        </w:rPr>
        <w:t>= investors’ required rate of return</w:t>
      </w:r>
      <w:r w:rsidR="0054220A">
        <w:rPr>
          <w:rFonts w:ascii="Times New Roman" w:hAnsi="Times New Roman"/>
          <w:sz w:val="24"/>
          <w:szCs w:val="24"/>
        </w:rPr>
        <w:t>; and</w:t>
      </w:r>
    </w:p>
    <w:p w14:paraId="642769A9" w14:textId="2E82A57F" w:rsidR="00650663" w:rsidRPr="00E6380B" w:rsidRDefault="00E6380B" w:rsidP="00650663">
      <w:pPr>
        <w:pStyle w:val="PlainText"/>
        <w:spacing w:line="48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650663" w:rsidRPr="00E6380B">
        <w:rPr>
          <w:rFonts w:ascii="Times New Roman" w:hAnsi="Times New Roman"/>
          <w:sz w:val="24"/>
          <w:szCs w:val="24"/>
        </w:rPr>
        <w:t xml:space="preserve">n </w:t>
      </w:r>
      <w:r w:rsidR="00FC6C0B">
        <w:rPr>
          <w:rFonts w:ascii="Times New Roman" w:hAnsi="Times New Roman"/>
          <w:sz w:val="24"/>
          <w:szCs w:val="24"/>
        </w:rPr>
        <w:t xml:space="preserve">  </w:t>
      </w:r>
      <w:r w:rsidR="00650663" w:rsidRPr="00E6380B">
        <w:rPr>
          <w:rFonts w:ascii="Times New Roman" w:hAnsi="Times New Roman"/>
          <w:sz w:val="24"/>
          <w:szCs w:val="24"/>
        </w:rPr>
        <w:t>= year of expected share price realization</w:t>
      </w:r>
      <w:r w:rsidR="0054220A">
        <w:rPr>
          <w:rFonts w:ascii="Times New Roman" w:hAnsi="Times New Roman"/>
          <w:sz w:val="24"/>
          <w:szCs w:val="24"/>
        </w:rPr>
        <w:t>.</w:t>
      </w:r>
    </w:p>
    <w:p w14:paraId="18C9AD22" w14:textId="1A85603C" w:rsidR="00650663" w:rsidRDefault="00E6380B" w:rsidP="005573FF">
      <w:pPr>
        <w:pStyle w:val="BodyTextIndent2"/>
        <w:spacing w:before="120" w:after="120"/>
        <w:ind w:firstLine="0"/>
        <w:jc w:val="both"/>
      </w:pPr>
      <w:r w:rsidRPr="00E6380B">
        <w:t>When the dividends are assumed to grow at a constant rate</w:t>
      </w:r>
      <w:r w:rsidR="00E236D3">
        <w:t xml:space="preserve"> </w:t>
      </w:r>
      <w:r w:rsidR="00E236D3" w:rsidRPr="00E236D3">
        <w:t>(</w:t>
      </w:r>
      <w:r w:rsidRPr="00E236D3">
        <w:rPr>
          <w:i/>
        </w:rPr>
        <w:t>g</w:t>
      </w:r>
      <w:r w:rsidR="00E236D3" w:rsidRPr="00E236D3">
        <w:t>)</w:t>
      </w:r>
      <w:r w:rsidR="00C75CA3">
        <w:t>,</w:t>
      </w:r>
      <w:r w:rsidR="00E236D3">
        <w:rPr>
          <w:i/>
        </w:rPr>
        <w:t xml:space="preserve"> </w:t>
      </w:r>
      <w:r w:rsidRPr="00E6380B">
        <w:t>the DCF</w:t>
      </w:r>
      <w:r w:rsidR="001843C8">
        <w:t xml:space="preserve"> methodology</w:t>
      </w:r>
      <w:r w:rsidRPr="00E6380B">
        <w:t xml:space="preserve"> is of the constant-growth variety and all future dividends can be expressed in terms of the current dividend, D</w:t>
      </w:r>
      <w:r w:rsidRPr="008B2292">
        <w:rPr>
          <w:vertAlign w:val="subscript"/>
        </w:rPr>
        <w:t>o</w:t>
      </w:r>
      <w:r w:rsidRPr="00E6380B">
        <w:t>, by the following equation:</w:t>
      </w:r>
    </w:p>
    <w:p w14:paraId="053F8EB8" w14:textId="77777777" w:rsidR="00573537" w:rsidRPr="00573537" w:rsidRDefault="00573537" w:rsidP="00573537">
      <w:pPr>
        <w:keepNext/>
        <w:keepLines/>
        <w:tabs>
          <w:tab w:val="left" w:pos="2070"/>
          <w:tab w:val="left" w:pos="3690"/>
          <w:tab w:val="left" w:pos="5580"/>
        </w:tabs>
        <w:jc w:val="both"/>
        <w:rPr>
          <w:sz w:val="24"/>
          <w:szCs w:val="24"/>
        </w:rPr>
      </w:pPr>
      <w:r w:rsidRPr="00573537">
        <w:rPr>
          <w:sz w:val="24"/>
          <w:szCs w:val="24"/>
        </w:rPr>
        <w:t xml:space="preserve">                                 </w:t>
      </w:r>
      <w:proofErr w:type="gramStart"/>
      <w:r w:rsidRPr="00573537">
        <w:rPr>
          <w:sz w:val="24"/>
          <w:szCs w:val="24"/>
        </w:rPr>
        <w:t>D</w:t>
      </w:r>
      <w:r w:rsidRPr="00573537">
        <w:rPr>
          <w:sz w:val="24"/>
          <w:szCs w:val="24"/>
          <w:vertAlign w:val="subscript"/>
        </w:rPr>
        <w:t>o</w:t>
      </w:r>
      <w:r w:rsidRPr="00573537">
        <w:rPr>
          <w:sz w:val="24"/>
          <w:szCs w:val="24"/>
        </w:rPr>
        <w:t>(</w:t>
      </w:r>
      <w:proofErr w:type="gramEnd"/>
      <w:r w:rsidRPr="00573537">
        <w:rPr>
          <w:sz w:val="24"/>
          <w:szCs w:val="24"/>
        </w:rPr>
        <w:t>1 + g)</w:t>
      </w:r>
      <w:r w:rsidRPr="00573537">
        <w:rPr>
          <w:sz w:val="24"/>
          <w:szCs w:val="24"/>
          <w:vertAlign w:val="superscript"/>
        </w:rPr>
        <w:t>1</w:t>
      </w:r>
      <w:r w:rsidRPr="00573537">
        <w:rPr>
          <w:sz w:val="24"/>
          <w:szCs w:val="24"/>
        </w:rPr>
        <w:t xml:space="preserve">        D</w:t>
      </w:r>
      <w:r w:rsidRPr="00573537">
        <w:rPr>
          <w:sz w:val="24"/>
          <w:szCs w:val="24"/>
          <w:vertAlign w:val="subscript"/>
        </w:rPr>
        <w:t>o</w:t>
      </w:r>
      <w:r w:rsidRPr="00573537">
        <w:rPr>
          <w:sz w:val="24"/>
          <w:szCs w:val="24"/>
        </w:rPr>
        <w:t>(1 + g)</w:t>
      </w:r>
      <w:r w:rsidRPr="00573537">
        <w:rPr>
          <w:sz w:val="24"/>
          <w:szCs w:val="24"/>
          <w:vertAlign w:val="superscript"/>
        </w:rPr>
        <w:t xml:space="preserve">2                        </w:t>
      </w:r>
      <w:r w:rsidRPr="00573537">
        <w:rPr>
          <w:sz w:val="24"/>
          <w:szCs w:val="24"/>
        </w:rPr>
        <w:t>D</w:t>
      </w:r>
      <w:r w:rsidRPr="00573537">
        <w:rPr>
          <w:sz w:val="24"/>
          <w:szCs w:val="24"/>
          <w:vertAlign w:val="subscript"/>
        </w:rPr>
        <w:t>o</w:t>
      </w:r>
      <w:r w:rsidRPr="00573537">
        <w:rPr>
          <w:sz w:val="24"/>
          <w:szCs w:val="24"/>
        </w:rPr>
        <w:t>(1 + g)</w:t>
      </w:r>
      <w:r w:rsidRPr="00573537">
        <w:rPr>
          <w:sz w:val="24"/>
          <w:szCs w:val="24"/>
          <w:vertAlign w:val="superscript"/>
        </w:rPr>
        <w:t>n</w:t>
      </w:r>
    </w:p>
    <w:p w14:paraId="7252D653" w14:textId="77777777" w:rsidR="00573537" w:rsidRPr="00573537" w:rsidRDefault="00573537" w:rsidP="00573537">
      <w:pPr>
        <w:keepNext/>
        <w:keepLines/>
        <w:jc w:val="both"/>
        <w:rPr>
          <w:sz w:val="24"/>
          <w:szCs w:val="24"/>
        </w:rPr>
      </w:pPr>
      <w:r w:rsidRPr="00573537">
        <w:rPr>
          <w:sz w:val="24"/>
          <w:szCs w:val="24"/>
        </w:rPr>
        <w:tab/>
      </w:r>
      <w:r w:rsidRPr="00573537">
        <w:rPr>
          <w:sz w:val="24"/>
          <w:szCs w:val="24"/>
        </w:rPr>
        <w:tab/>
        <w:t>P</w:t>
      </w:r>
      <w:r w:rsidRPr="00573537">
        <w:rPr>
          <w:sz w:val="24"/>
          <w:szCs w:val="24"/>
          <w:vertAlign w:val="subscript"/>
        </w:rPr>
        <w:t>o</w:t>
      </w:r>
      <w:r w:rsidRPr="00573537">
        <w:rPr>
          <w:sz w:val="24"/>
          <w:szCs w:val="24"/>
        </w:rPr>
        <w:t xml:space="preserve"> </w:t>
      </w:r>
      <w:proofErr w:type="gramStart"/>
      <w:r w:rsidRPr="00573537">
        <w:rPr>
          <w:sz w:val="24"/>
          <w:szCs w:val="24"/>
        </w:rPr>
        <w:t>=  ------------</w:t>
      </w:r>
      <w:proofErr w:type="gramEnd"/>
      <w:r w:rsidRPr="00573537">
        <w:rPr>
          <w:sz w:val="24"/>
          <w:szCs w:val="24"/>
        </w:rPr>
        <w:t xml:space="preserve">    + -------------  + . . . + ------------- </w:t>
      </w:r>
    </w:p>
    <w:p w14:paraId="6EF511CE" w14:textId="77777777" w:rsidR="00573537" w:rsidRPr="00573537" w:rsidRDefault="00573537" w:rsidP="00463E02">
      <w:pPr>
        <w:tabs>
          <w:tab w:val="left" w:pos="2160"/>
          <w:tab w:val="left" w:pos="3780"/>
          <w:tab w:val="left" w:pos="5670"/>
        </w:tabs>
        <w:spacing w:after="120" w:line="480" w:lineRule="auto"/>
        <w:ind w:left="720" w:hanging="720"/>
        <w:jc w:val="both"/>
        <w:rPr>
          <w:sz w:val="24"/>
          <w:szCs w:val="24"/>
        </w:rPr>
      </w:pPr>
      <w:r w:rsidRPr="00573537">
        <w:rPr>
          <w:sz w:val="24"/>
          <w:szCs w:val="24"/>
        </w:rPr>
        <w:tab/>
        <w:t xml:space="preserve">                       (1 + k</w:t>
      </w:r>
      <w:proofErr w:type="gramStart"/>
      <w:r w:rsidRPr="00573537">
        <w:rPr>
          <w:sz w:val="24"/>
          <w:szCs w:val="24"/>
        </w:rPr>
        <w:t>)</w:t>
      </w:r>
      <w:r w:rsidRPr="00573537">
        <w:rPr>
          <w:sz w:val="24"/>
          <w:szCs w:val="24"/>
          <w:vertAlign w:val="superscript"/>
        </w:rPr>
        <w:t>1</w:t>
      </w:r>
      <w:proofErr w:type="gramEnd"/>
      <w:r w:rsidRPr="00573537">
        <w:rPr>
          <w:sz w:val="24"/>
          <w:szCs w:val="24"/>
          <w:vertAlign w:val="superscript"/>
        </w:rPr>
        <w:t xml:space="preserve">                   </w:t>
      </w:r>
      <w:r w:rsidRPr="00573537">
        <w:rPr>
          <w:sz w:val="24"/>
          <w:szCs w:val="24"/>
        </w:rPr>
        <w:t>(1 + k)</w:t>
      </w:r>
      <w:r w:rsidRPr="00573537">
        <w:rPr>
          <w:sz w:val="24"/>
          <w:szCs w:val="24"/>
          <w:vertAlign w:val="superscript"/>
        </w:rPr>
        <w:t>2</w:t>
      </w:r>
      <w:r w:rsidRPr="00573537">
        <w:rPr>
          <w:sz w:val="24"/>
          <w:szCs w:val="24"/>
        </w:rPr>
        <w:t xml:space="preserve">                     (1 + k)</w:t>
      </w:r>
      <w:r w:rsidRPr="00573537">
        <w:rPr>
          <w:sz w:val="24"/>
          <w:szCs w:val="24"/>
          <w:vertAlign w:val="superscript"/>
        </w:rPr>
        <w:t>n</w:t>
      </w:r>
    </w:p>
    <w:p w14:paraId="023A51E7" w14:textId="485D5CEA" w:rsidR="00CD1121" w:rsidRPr="00CD1121" w:rsidRDefault="00CD1121" w:rsidP="00CD1121">
      <w:pPr>
        <w:spacing w:line="480" w:lineRule="auto"/>
        <w:ind w:left="720"/>
        <w:jc w:val="both"/>
        <w:rPr>
          <w:sz w:val="24"/>
          <w:szCs w:val="24"/>
        </w:rPr>
      </w:pPr>
      <w:r w:rsidRPr="00CD1121">
        <w:rPr>
          <w:sz w:val="24"/>
          <w:szCs w:val="24"/>
        </w:rPr>
        <w:t>Finally, if the discount rate or required rate of return</w:t>
      </w:r>
      <w:r w:rsidR="00BA342A">
        <w:rPr>
          <w:sz w:val="24"/>
          <w:szCs w:val="24"/>
        </w:rPr>
        <w:t xml:space="preserve"> </w:t>
      </w:r>
      <w:r w:rsidR="00BA342A" w:rsidRPr="00BA342A">
        <w:rPr>
          <w:sz w:val="24"/>
          <w:szCs w:val="24"/>
        </w:rPr>
        <w:t>(</w:t>
      </w:r>
      <w:r w:rsidRPr="00BA342A">
        <w:rPr>
          <w:i/>
          <w:sz w:val="24"/>
          <w:szCs w:val="24"/>
        </w:rPr>
        <w:t>k</w:t>
      </w:r>
      <w:r w:rsidR="00BA342A" w:rsidRPr="00BA342A">
        <w:rPr>
          <w:sz w:val="24"/>
          <w:szCs w:val="24"/>
        </w:rPr>
        <w:t>)</w:t>
      </w:r>
      <w:r w:rsidR="00BA342A">
        <w:rPr>
          <w:i/>
          <w:sz w:val="24"/>
          <w:szCs w:val="24"/>
        </w:rPr>
        <w:t xml:space="preserve"> </w:t>
      </w:r>
      <w:r w:rsidRPr="00CD1121">
        <w:rPr>
          <w:sz w:val="24"/>
          <w:szCs w:val="24"/>
        </w:rPr>
        <w:t xml:space="preserve">is assumed to be constant from year to year, and </w:t>
      </w:r>
      <w:r w:rsidRPr="00CD1121">
        <w:rPr>
          <w:i/>
          <w:sz w:val="24"/>
          <w:szCs w:val="24"/>
        </w:rPr>
        <w:t>k</w:t>
      </w:r>
      <w:r w:rsidRPr="00CD1121">
        <w:rPr>
          <w:sz w:val="24"/>
          <w:szCs w:val="24"/>
        </w:rPr>
        <w:t xml:space="preserve"> is greater than </w:t>
      </w:r>
      <w:r w:rsidRPr="00CD1121">
        <w:rPr>
          <w:i/>
          <w:sz w:val="24"/>
          <w:szCs w:val="24"/>
        </w:rPr>
        <w:t>g</w:t>
      </w:r>
      <w:r w:rsidRPr="00CD1121">
        <w:rPr>
          <w:sz w:val="24"/>
          <w:szCs w:val="24"/>
        </w:rPr>
        <w:t xml:space="preserve">, then the equation above reduces to the following form as </w:t>
      </w:r>
      <w:r w:rsidRPr="00CD1121">
        <w:rPr>
          <w:i/>
          <w:sz w:val="24"/>
          <w:szCs w:val="24"/>
        </w:rPr>
        <w:t>n</w:t>
      </w:r>
      <w:r w:rsidRPr="00CD1121">
        <w:rPr>
          <w:sz w:val="24"/>
          <w:szCs w:val="24"/>
        </w:rPr>
        <w:t xml:space="preserve"> approaches infinity:</w:t>
      </w:r>
    </w:p>
    <w:p w14:paraId="4A230A64" w14:textId="77777777" w:rsidR="00CD1121" w:rsidRPr="00CD1121" w:rsidRDefault="00CD1121" w:rsidP="00CD1121">
      <w:pPr>
        <w:keepNext/>
        <w:keepLines/>
        <w:tabs>
          <w:tab w:val="left" w:pos="2070"/>
        </w:tabs>
        <w:ind w:firstLine="720"/>
        <w:jc w:val="both"/>
        <w:rPr>
          <w:sz w:val="24"/>
          <w:szCs w:val="24"/>
        </w:rPr>
      </w:pPr>
      <w:r w:rsidRPr="00CD1121">
        <w:rPr>
          <w:sz w:val="24"/>
          <w:szCs w:val="24"/>
        </w:rPr>
        <w:tab/>
      </w:r>
      <w:proofErr w:type="gramStart"/>
      <w:r w:rsidRPr="00CD1121">
        <w:rPr>
          <w:sz w:val="24"/>
          <w:szCs w:val="24"/>
        </w:rPr>
        <w:t>D</w:t>
      </w:r>
      <w:r w:rsidRPr="00CD1121">
        <w:rPr>
          <w:sz w:val="24"/>
          <w:szCs w:val="24"/>
          <w:vertAlign w:val="subscript"/>
        </w:rPr>
        <w:t>o</w:t>
      </w:r>
      <w:r w:rsidRPr="00CD1121">
        <w:rPr>
          <w:sz w:val="24"/>
          <w:szCs w:val="24"/>
        </w:rPr>
        <w:t>(</w:t>
      </w:r>
      <w:proofErr w:type="gramEnd"/>
      <w:r w:rsidRPr="00CD1121">
        <w:rPr>
          <w:sz w:val="24"/>
          <w:szCs w:val="24"/>
        </w:rPr>
        <w:t>1 + g)</w:t>
      </w:r>
      <w:r w:rsidRPr="00CD1121">
        <w:rPr>
          <w:sz w:val="24"/>
          <w:szCs w:val="24"/>
        </w:rPr>
        <w:tab/>
      </w:r>
    </w:p>
    <w:p w14:paraId="3D52729F" w14:textId="66975F52" w:rsidR="00CD1121" w:rsidRPr="00CD1121" w:rsidRDefault="00CD1121" w:rsidP="00CD1121">
      <w:pPr>
        <w:keepNext/>
        <w:keepLines/>
        <w:jc w:val="both"/>
        <w:rPr>
          <w:sz w:val="24"/>
          <w:szCs w:val="24"/>
        </w:rPr>
      </w:pPr>
      <w:r w:rsidRPr="00CD1121">
        <w:rPr>
          <w:sz w:val="24"/>
          <w:szCs w:val="24"/>
        </w:rPr>
        <w:tab/>
      </w:r>
      <w:r w:rsidRPr="00CD1121">
        <w:rPr>
          <w:sz w:val="24"/>
          <w:szCs w:val="24"/>
        </w:rPr>
        <w:tab/>
      </w:r>
      <w:proofErr w:type="gramStart"/>
      <w:r w:rsidRPr="00CD1121">
        <w:rPr>
          <w:sz w:val="24"/>
          <w:szCs w:val="24"/>
        </w:rPr>
        <w:t>P</w:t>
      </w:r>
      <w:r w:rsidRPr="00CD1121">
        <w:rPr>
          <w:sz w:val="24"/>
          <w:szCs w:val="24"/>
          <w:vertAlign w:val="subscript"/>
        </w:rPr>
        <w:t xml:space="preserve">o </w:t>
      </w:r>
      <w:r w:rsidRPr="00CD1121">
        <w:rPr>
          <w:sz w:val="24"/>
          <w:szCs w:val="24"/>
        </w:rPr>
        <w:t xml:space="preserve"> =</w:t>
      </w:r>
      <w:proofErr w:type="gramEnd"/>
      <w:r w:rsidRPr="00CD1121">
        <w:rPr>
          <w:sz w:val="24"/>
          <w:szCs w:val="24"/>
        </w:rPr>
        <w:t xml:space="preserve"> </w:t>
      </w:r>
      <w:r>
        <w:rPr>
          <w:sz w:val="24"/>
          <w:szCs w:val="24"/>
        </w:rPr>
        <w:t xml:space="preserve"> </w:t>
      </w:r>
      <w:r w:rsidRPr="00CD1121">
        <w:rPr>
          <w:sz w:val="24"/>
          <w:szCs w:val="24"/>
        </w:rPr>
        <w:t>------------</w:t>
      </w:r>
      <w:r>
        <w:rPr>
          <w:sz w:val="24"/>
          <w:szCs w:val="24"/>
        </w:rPr>
        <w:t>-</w:t>
      </w:r>
    </w:p>
    <w:p w14:paraId="1F0424DE" w14:textId="4105028F" w:rsidR="00CD1121" w:rsidRPr="00CD1121" w:rsidRDefault="00CD1121" w:rsidP="00463E02">
      <w:pPr>
        <w:tabs>
          <w:tab w:val="left" w:pos="2160"/>
        </w:tabs>
        <w:spacing w:after="120" w:line="480" w:lineRule="auto"/>
        <w:ind w:left="720" w:hanging="720"/>
        <w:jc w:val="both"/>
        <w:rPr>
          <w:sz w:val="24"/>
          <w:szCs w:val="24"/>
        </w:rPr>
      </w:pPr>
      <w:r w:rsidRPr="00CD1121">
        <w:rPr>
          <w:sz w:val="24"/>
          <w:szCs w:val="24"/>
        </w:rPr>
        <w:tab/>
      </w:r>
      <w:r w:rsidRPr="00CD1121">
        <w:rPr>
          <w:sz w:val="24"/>
          <w:szCs w:val="24"/>
        </w:rPr>
        <w:tab/>
      </w:r>
      <w:r>
        <w:rPr>
          <w:sz w:val="24"/>
          <w:szCs w:val="24"/>
        </w:rPr>
        <w:t xml:space="preserve"> </w:t>
      </w:r>
      <w:r w:rsidRPr="00CD1121">
        <w:rPr>
          <w:sz w:val="24"/>
          <w:szCs w:val="24"/>
        </w:rPr>
        <w:t xml:space="preserve">(k - </w:t>
      </w:r>
      <w:proofErr w:type="gramStart"/>
      <w:r w:rsidRPr="00CD1121">
        <w:rPr>
          <w:sz w:val="24"/>
          <w:szCs w:val="24"/>
        </w:rPr>
        <w:t>g</w:t>
      </w:r>
      <w:proofErr w:type="gramEnd"/>
      <w:r w:rsidRPr="00CD1121">
        <w:rPr>
          <w:sz w:val="24"/>
          <w:szCs w:val="24"/>
        </w:rPr>
        <w:t>)</w:t>
      </w:r>
    </w:p>
    <w:p w14:paraId="107493CC" w14:textId="6F464E52" w:rsidR="00CD1121" w:rsidRPr="00CD1121" w:rsidRDefault="00CD1121" w:rsidP="00CD1121">
      <w:pPr>
        <w:spacing w:line="480" w:lineRule="auto"/>
        <w:ind w:left="720"/>
        <w:jc w:val="both"/>
        <w:rPr>
          <w:sz w:val="24"/>
          <w:szCs w:val="24"/>
        </w:rPr>
      </w:pPr>
      <w:r w:rsidRPr="00CD1121">
        <w:rPr>
          <w:sz w:val="24"/>
          <w:szCs w:val="24"/>
        </w:rPr>
        <w:t>For purposes of estimating the cost of common equity, the equation above may be rearranged to solve for the investors</w:t>
      </w:r>
      <w:r w:rsidR="00D90C8E">
        <w:rPr>
          <w:sz w:val="24"/>
          <w:szCs w:val="24"/>
        </w:rPr>
        <w:t>’</w:t>
      </w:r>
      <w:r w:rsidRPr="00CD1121">
        <w:rPr>
          <w:sz w:val="24"/>
          <w:szCs w:val="24"/>
        </w:rPr>
        <w:t xml:space="preserve"> required rate of return:</w:t>
      </w:r>
    </w:p>
    <w:p w14:paraId="4689D862" w14:textId="77777777" w:rsidR="00CD1121" w:rsidRPr="00CD1121" w:rsidRDefault="00CD1121" w:rsidP="00CD1121">
      <w:pPr>
        <w:keepNext/>
        <w:keepLines/>
        <w:tabs>
          <w:tab w:val="left" w:pos="1980"/>
        </w:tabs>
        <w:jc w:val="both"/>
        <w:rPr>
          <w:sz w:val="24"/>
          <w:szCs w:val="24"/>
        </w:rPr>
      </w:pPr>
      <w:r w:rsidRPr="00CD1121">
        <w:rPr>
          <w:sz w:val="24"/>
          <w:szCs w:val="24"/>
        </w:rPr>
        <w:t xml:space="preserve">                              </w:t>
      </w:r>
      <w:proofErr w:type="gramStart"/>
      <w:r w:rsidRPr="00CD1121">
        <w:rPr>
          <w:sz w:val="24"/>
          <w:szCs w:val="24"/>
        </w:rPr>
        <w:t>D</w:t>
      </w:r>
      <w:r w:rsidRPr="00CD1121">
        <w:rPr>
          <w:sz w:val="24"/>
          <w:szCs w:val="24"/>
          <w:vertAlign w:val="subscript"/>
        </w:rPr>
        <w:t>o</w:t>
      </w:r>
      <w:r w:rsidRPr="00CD1121">
        <w:rPr>
          <w:sz w:val="24"/>
          <w:szCs w:val="24"/>
        </w:rPr>
        <w:t>(</w:t>
      </w:r>
      <w:proofErr w:type="gramEnd"/>
      <w:r w:rsidRPr="00CD1121">
        <w:rPr>
          <w:sz w:val="24"/>
          <w:szCs w:val="24"/>
        </w:rPr>
        <w:t>1 + g)</w:t>
      </w:r>
      <w:r w:rsidRPr="00CD1121">
        <w:rPr>
          <w:sz w:val="24"/>
          <w:szCs w:val="24"/>
        </w:rPr>
        <w:tab/>
      </w:r>
    </w:p>
    <w:p w14:paraId="313F0F14" w14:textId="77777777" w:rsidR="00CD1121" w:rsidRPr="00CD1121" w:rsidRDefault="00CD1121" w:rsidP="00CD1121">
      <w:pPr>
        <w:keepNext/>
        <w:keepLines/>
        <w:jc w:val="both"/>
        <w:rPr>
          <w:sz w:val="24"/>
          <w:szCs w:val="24"/>
        </w:rPr>
      </w:pPr>
      <w:r w:rsidRPr="00CD1121">
        <w:rPr>
          <w:sz w:val="24"/>
          <w:szCs w:val="24"/>
        </w:rPr>
        <w:tab/>
      </w:r>
      <w:r w:rsidRPr="00CD1121">
        <w:rPr>
          <w:sz w:val="24"/>
          <w:szCs w:val="24"/>
        </w:rPr>
        <w:tab/>
        <w:t>k = ----------- + g</w:t>
      </w:r>
    </w:p>
    <w:p w14:paraId="5B32462F" w14:textId="77777777" w:rsidR="00CD1121" w:rsidRPr="00CD1121" w:rsidRDefault="00CD1121" w:rsidP="002A0579">
      <w:pPr>
        <w:tabs>
          <w:tab w:val="left" w:pos="2340"/>
        </w:tabs>
        <w:spacing w:after="120" w:line="480" w:lineRule="auto"/>
        <w:ind w:left="720" w:hanging="720"/>
        <w:jc w:val="both"/>
        <w:rPr>
          <w:sz w:val="24"/>
          <w:szCs w:val="24"/>
          <w:vertAlign w:val="subscript"/>
        </w:rPr>
      </w:pPr>
      <w:r w:rsidRPr="00CD1121">
        <w:rPr>
          <w:sz w:val="24"/>
          <w:szCs w:val="24"/>
        </w:rPr>
        <w:tab/>
        <w:t xml:space="preserve">                         P</w:t>
      </w:r>
      <w:r w:rsidRPr="00CD1121">
        <w:rPr>
          <w:sz w:val="24"/>
          <w:szCs w:val="24"/>
          <w:vertAlign w:val="subscript"/>
        </w:rPr>
        <w:t>o</w:t>
      </w:r>
    </w:p>
    <w:p w14:paraId="32BB63B3" w14:textId="77777777" w:rsidR="00CD1121" w:rsidRPr="00CD1121" w:rsidRDefault="00CD1121" w:rsidP="00CD1121">
      <w:pPr>
        <w:keepNext/>
        <w:spacing w:line="480" w:lineRule="auto"/>
        <w:ind w:left="720"/>
        <w:jc w:val="both"/>
        <w:rPr>
          <w:sz w:val="24"/>
          <w:szCs w:val="24"/>
        </w:rPr>
      </w:pPr>
      <w:proofErr w:type="gramStart"/>
      <w:r w:rsidRPr="00CD1121">
        <w:rPr>
          <w:sz w:val="24"/>
          <w:szCs w:val="24"/>
        </w:rPr>
        <w:t>or</w:t>
      </w:r>
      <w:proofErr w:type="gramEnd"/>
      <w:r w:rsidRPr="00CD1121">
        <w:rPr>
          <w:sz w:val="24"/>
          <w:szCs w:val="24"/>
        </w:rPr>
        <w:t xml:space="preserve"> more simply:</w:t>
      </w:r>
    </w:p>
    <w:p w14:paraId="59EC8FB6" w14:textId="77777777" w:rsidR="00CD1121" w:rsidRPr="00CD1121" w:rsidRDefault="00CD1121" w:rsidP="00CD1121">
      <w:pPr>
        <w:keepNext/>
        <w:keepLines/>
        <w:tabs>
          <w:tab w:val="left" w:pos="2280"/>
        </w:tabs>
        <w:jc w:val="both"/>
        <w:rPr>
          <w:sz w:val="24"/>
          <w:szCs w:val="24"/>
        </w:rPr>
      </w:pPr>
      <w:r w:rsidRPr="00CD1121">
        <w:rPr>
          <w:sz w:val="24"/>
          <w:szCs w:val="24"/>
        </w:rPr>
        <w:t xml:space="preserve">                                D</w:t>
      </w:r>
      <w:r w:rsidRPr="00CD1121">
        <w:rPr>
          <w:sz w:val="24"/>
          <w:szCs w:val="24"/>
          <w:vertAlign w:val="subscript"/>
        </w:rPr>
        <w:t>1</w:t>
      </w:r>
    </w:p>
    <w:p w14:paraId="6352101B" w14:textId="77777777" w:rsidR="00CD1121" w:rsidRPr="00CD1121" w:rsidRDefault="00CD1121" w:rsidP="00CD1121">
      <w:pPr>
        <w:keepNext/>
        <w:keepLines/>
        <w:tabs>
          <w:tab w:val="left" w:pos="1440"/>
          <w:tab w:val="left" w:pos="2280"/>
        </w:tabs>
        <w:jc w:val="both"/>
        <w:rPr>
          <w:sz w:val="24"/>
          <w:szCs w:val="24"/>
        </w:rPr>
      </w:pPr>
      <w:r w:rsidRPr="00CD1121">
        <w:rPr>
          <w:sz w:val="24"/>
          <w:szCs w:val="24"/>
        </w:rPr>
        <w:tab/>
        <w:t>k = ----- + g</w:t>
      </w:r>
    </w:p>
    <w:p w14:paraId="5E40D797" w14:textId="77777777" w:rsidR="00CD1121" w:rsidRPr="00CD1121" w:rsidRDefault="00CD1121" w:rsidP="00463E02">
      <w:pPr>
        <w:tabs>
          <w:tab w:val="left" w:pos="2280"/>
        </w:tabs>
        <w:spacing w:after="120" w:line="480" w:lineRule="auto"/>
        <w:ind w:left="720" w:hanging="720"/>
        <w:jc w:val="both"/>
        <w:rPr>
          <w:sz w:val="24"/>
          <w:szCs w:val="24"/>
          <w:vertAlign w:val="subscript"/>
        </w:rPr>
      </w:pPr>
      <w:r w:rsidRPr="00CD1121">
        <w:rPr>
          <w:sz w:val="24"/>
          <w:szCs w:val="24"/>
        </w:rPr>
        <w:t xml:space="preserve"> </w:t>
      </w:r>
      <w:r w:rsidRPr="00CD1121">
        <w:rPr>
          <w:sz w:val="24"/>
          <w:szCs w:val="24"/>
        </w:rPr>
        <w:tab/>
        <w:t xml:space="preserve">                    P</w:t>
      </w:r>
      <w:r w:rsidRPr="00CD1121">
        <w:rPr>
          <w:sz w:val="24"/>
          <w:szCs w:val="24"/>
          <w:vertAlign w:val="subscript"/>
        </w:rPr>
        <w:t>o</w:t>
      </w:r>
    </w:p>
    <w:p w14:paraId="7FC11BC0" w14:textId="5B5396A8" w:rsidR="008B2292" w:rsidRPr="00E6380B" w:rsidRDefault="00816ACC" w:rsidP="005573FF">
      <w:pPr>
        <w:pStyle w:val="BodyTextIndent2"/>
        <w:spacing w:before="120" w:after="120"/>
        <w:ind w:firstLine="0"/>
        <w:jc w:val="both"/>
      </w:pPr>
      <w:r w:rsidRPr="00816ACC">
        <w:rPr>
          <w:szCs w:val="22"/>
        </w:rPr>
        <w:t>The constant-growth DCF model recognizes that the return to stockholder</w:t>
      </w:r>
      <w:r w:rsidR="00A3305C">
        <w:rPr>
          <w:szCs w:val="22"/>
        </w:rPr>
        <w:t>s</w:t>
      </w:r>
      <w:r w:rsidRPr="00816ACC">
        <w:rPr>
          <w:szCs w:val="22"/>
        </w:rPr>
        <w:t xml:space="preserve"> consists of two parts:</w:t>
      </w:r>
      <w:r w:rsidR="00ED220E">
        <w:rPr>
          <w:szCs w:val="22"/>
        </w:rPr>
        <w:t xml:space="preserve"> </w:t>
      </w:r>
      <w:r w:rsidRPr="00816ACC">
        <w:rPr>
          <w:szCs w:val="22"/>
        </w:rPr>
        <w:t xml:space="preserve"> dividend yield and growth.  Equity investors expect to receive a portion of their total required return in the form of current dividends and the remainder </w:t>
      </w:r>
      <w:r w:rsidR="001843C8">
        <w:rPr>
          <w:szCs w:val="22"/>
        </w:rPr>
        <w:t xml:space="preserve">in the form of </w:t>
      </w:r>
      <w:r w:rsidRPr="00816ACC">
        <w:rPr>
          <w:szCs w:val="22"/>
        </w:rPr>
        <w:t>price appreciation.</w:t>
      </w:r>
    </w:p>
    <w:p w14:paraId="330455F9" w14:textId="5A4F9162" w:rsidR="007D2AB0" w:rsidRDefault="006B51BA" w:rsidP="002457D8">
      <w:pPr>
        <w:pStyle w:val="question"/>
      </w:pPr>
      <w:r>
        <w:t>Q.</w:t>
      </w:r>
      <w:r>
        <w:tab/>
      </w:r>
      <w:r w:rsidR="009C701A" w:rsidRPr="009C701A">
        <w:t>Are there variations o</w:t>
      </w:r>
      <w:r w:rsidR="009C701A">
        <w:t>f the constant-growth DCF model?</w:t>
      </w:r>
    </w:p>
    <w:p w14:paraId="6883AA36" w14:textId="47EB180F" w:rsidR="009C701A" w:rsidRPr="009C701A" w:rsidRDefault="009C701A" w:rsidP="009C701A">
      <w:pPr>
        <w:pStyle w:val="answer"/>
        <w:numPr>
          <w:ilvl w:val="0"/>
          <w:numId w:val="15"/>
        </w:numPr>
        <w:tabs>
          <w:tab w:val="clear" w:pos="360"/>
          <w:tab w:val="num" w:pos="-3420"/>
          <w:tab w:val="left" w:pos="720"/>
        </w:tabs>
        <w:spacing w:after="0"/>
        <w:ind w:left="720" w:right="0" w:hanging="720"/>
      </w:pPr>
      <w:r w:rsidRPr="009C701A">
        <w:t xml:space="preserve">Yes.  For conditions in which growth rates are expected </w:t>
      </w:r>
      <w:r w:rsidR="00D94FF7">
        <w:t xml:space="preserve">to differ significantly </w:t>
      </w:r>
      <w:r w:rsidRPr="009C701A">
        <w:t xml:space="preserve">over time, analysts often employ a multistage version of the DCF model.  For example, the expected near-term growth of a given company may be significantly higher or lower than the expected sustainable growth rate.  In these situations, it is appropriate to apply a multistage DCF model that incorporates the various growth rates expected over time. </w:t>
      </w:r>
    </w:p>
    <w:p w14:paraId="1E25D999" w14:textId="6119A324" w:rsidR="009C701A" w:rsidRPr="009C701A" w:rsidRDefault="009C701A" w:rsidP="009C701A">
      <w:pPr>
        <w:tabs>
          <w:tab w:val="left" w:pos="-3330"/>
          <w:tab w:val="num" w:pos="360"/>
        </w:tabs>
        <w:spacing w:line="480" w:lineRule="auto"/>
        <w:ind w:left="720"/>
        <w:jc w:val="both"/>
        <w:rPr>
          <w:sz w:val="24"/>
          <w:szCs w:val="24"/>
        </w:rPr>
      </w:pPr>
      <w:r w:rsidRPr="009C701A">
        <w:rPr>
          <w:sz w:val="24"/>
          <w:szCs w:val="24"/>
        </w:rPr>
        <w:tab/>
        <w:t>Under the multistage DCF</w:t>
      </w:r>
      <w:r w:rsidR="001843C8">
        <w:rPr>
          <w:sz w:val="24"/>
          <w:szCs w:val="24"/>
        </w:rPr>
        <w:t xml:space="preserve"> m</w:t>
      </w:r>
      <w:r w:rsidR="00153BC2">
        <w:rPr>
          <w:sz w:val="24"/>
          <w:szCs w:val="24"/>
        </w:rPr>
        <w:t>odel</w:t>
      </w:r>
      <w:r w:rsidRPr="009C701A">
        <w:rPr>
          <w:sz w:val="24"/>
          <w:szCs w:val="24"/>
        </w:rPr>
        <w:t>, the equation for the constant</w:t>
      </w:r>
      <w:r w:rsidR="00B24EC7">
        <w:rPr>
          <w:sz w:val="24"/>
          <w:szCs w:val="24"/>
        </w:rPr>
        <w:t>-</w:t>
      </w:r>
      <w:r w:rsidRPr="009C701A">
        <w:rPr>
          <w:sz w:val="24"/>
          <w:szCs w:val="24"/>
        </w:rPr>
        <w:t>growth DCF</w:t>
      </w:r>
      <w:r w:rsidR="001843C8">
        <w:rPr>
          <w:sz w:val="24"/>
          <w:szCs w:val="24"/>
        </w:rPr>
        <w:t xml:space="preserve"> m</w:t>
      </w:r>
      <w:r w:rsidR="00153BC2">
        <w:rPr>
          <w:sz w:val="24"/>
          <w:szCs w:val="24"/>
        </w:rPr>
        <w:t>odel</w:t>
      </w:r>
      <w:r w:rsidRPr="009C701A">
        <w:rPr>
          <w:sz w:val="24"/>
          <w:szCs w:val="24"/>
        </w:rPr>
        <w:t xml:space="preserve"> is simply expanded to incorporate two or more growth-rate periods with the assumption that a permanent</w:t>
      </w:r>
      <w:r w:rsidR="0030457E">
        <w:rPr>
          <w:sz w:val="24"/>
          <w:szCs w:val="24"/>
        </w:rPr>
        <w:t>,</w:t>
      </w:r>
      <w:r w:rsidRPr="009C701A">
        <w:rPr>
          <w:sz w:val="24"/>
          <w:szCs w:val="24"/>
        </w:rPr>
        <w:t xml:space="preserve"> constant growth rate can be estimated for some point in the future</w:t>
      </w:r>
      <w:r w:rsidR="0030457E">
        <w:rPr>
          <w:sz w:val="24"/>
          <w:szCs w:val="24"/>
        </w:rPr>
        <w:t xml:space="preserve"> as follows</w:t>
      </w:r>
      <w:r w:rsidRPr="009C701A">
        <w:rPr>
          <w:sz w:val="24"/>
          <w:szCs w:val="24"/>
        </w:rPr>
        <w:t xml:space="preserve">: </w:t>
      </w:r>
    </w:p>
    <w:p w14:paraId="2D197F5A" w14:textId="77777777" w:rsidR="009C701A" w:rsidRPr="009C701A" w:rsidRDefault="009C701A" w:rsidP="009C701A">
      <w:pPr>
        <w:keepNext/>
        <w:keepLines/>
        <w:tabs>
          <w:tab w:val="left" w:pos="2520"/>
          <w:tab w:val="left" w:pos="4230"/>
          <w:tab w:val="left" w:pos="4320"/>
          <w:tab w:val="left" w:pos="6210"/>
        </w:tabs>
        <w:ind w:left="450" w:hanging="450"/>
        <w:rPr>
          <w:sz w:val="24"/>
          <w:szCs w:val="24"/>
        </w:rPr>
      </w:pPr>
      <w:r w:rsidRPr="009C701A">
        <w:rPr>
          <w:sz w:val="24"/>
          <w:szCs w:val="24"/>
        </w:rPr>
        <w:tab/>
        <w:t xml:space="preserve">                          </w:t>
      </w:r>
      <w:proofErr w:type="gramStart"/>
      <w:r w:rsidRPr="009C701A">
        <w:rPr>
          <w:sz w:val="24"/>
          <w:szCs w:val="24"/>
        </w:rPr>
        <w:t>D</w:t>
      </w:r>
      <w:r w:rsidRPr="009C701A">
        <w:rPr>
          <w:sz w:val="24"/>
          <w:szCs w:val="24"/>
          <w:vertAlign w:val="subscript"/>
        </w:rPr>
        <w:t>0</w:t>
      </w:r>
      <w:r w:rsidRPr="009C701A">
        <w:rPr>
          <w:sz w:val="24"/>
          <w:szCs w:val="24"/>
        </w:rPr>
        <w:t>(</w:t>
      </w:r>
      <w:proofErr w:type="gramEnd"/>
      <w:r w:rsidRPr="009C701A">
        <w:rPr>
          <w:sz w:val="24"/>
          <w:szCs w:val="24"/>
        </w:rPr>
        <w:t>1+g</w:t>
      </w:r>
      <w:r w:rsidRPr="009C701A">
        <w:rPr>
          <w:sz w:val="24"/>
          <w:szCs w:val="24"/>
          <w:vertAlign w:val="subscript"/>
        </w:rPr>
        <w:t>1</w:t>
      </w:r>
      <w:r w:rsidRPr="009C701A">
        <w:rPr>
          <w:sz w:val="24"/>
          <w:szCs w:val="24"/>
        </w:rPr>
        <w:t>)       D</w:t>
      </w:r>
      <w:r w:rsidRPr="009C701A">
        <w:rPr>
          <w:sz w:val="24"/>
          <w:szCs w:val="24"/>
          <w:vertAlign w:val="subscript"/>
        </w:rPr>
        <w:t>1</w:t>
      </w:r>
      <w:r w:rsidRPr="009C701A">
        <w:rPr>
          <w:sz w:val="24"/>
          <w:szCs w:val="24"/>
        </w:rPr>
        <w:t>(1+g</w:t>
      </w:r>
      <w:r w:rsidRPr="009C701A">
        <w:rPr>
          <w:sz w:val="24"/>
          <w:szCs w:val="24"/>
          <w:vertAlign w:val="subscript"/>
        </w:rPr>
        <w:t>2</w:t>
      </w:r>
      <w:r w:rsidRPr="009C701A">
        <w:rPr>
          <w:sz w:val="24"/>
          <w:szCs w:val="24"/>
        </w:rPr>
        <w:t>)</w:t>
      </w:r>
      <w:r w:rsidRPr="009C701A">
        <w:rPr>
          <w:sz w:val="24"/>
          <w:szCs w:val="24"/>
          <w:vertAlign w:val="subscript"/>
        </w:rPr>
        <w:t xml:space="preserve">                     </w:t>
      </w:r>
      <w:r w:rsidRPr="009C701A">
        <w:rPr>
          <w:sz w:val="24"/>
          <w:szCs w:val="24"/>
        </w:rPr>
        <w:t>D</w:t>
      </w:r>
      <w:r w:rsidRPr="009C701A">
        <w:rPr>
          <w:sz w:val="24"/>
          <w:szCs w:val="24"/>
          <w:vertAlign w:val="subscript"/>
        </w:rPr>
        <w:t>(n-1)</w:t>
      </w:r>
      <w:r w:rsidRPr="009C701A">
        <w:rPr>
          <w:sz w:val="24"/>
          <w:szCs w:val="24"/>
        </w:rPr>
        <w:t>(1+g</w:t>
      </w:r>
      <w:r w:rsidRPr="009C701A">
        <w:rPr>
          <w:sz w:val="24"/>
          <w:szCs w:val="24"/>
          <w:vertAlign w:val="subscript"/>
        </w:rPr>
        <w:t>n</w:t>
      </w:r>
      <w:r w:rsidRPr="009C701A">
        <w:rPr>
          <w:sz w:val="24"/>
          <w:szCs w:val="24"/>
        </w:rPr>
        <w:t>)</w:t>
      </w:r>
    </w:p>
    <w:p w14:paraId="46375F16" w14:textId="77777777" w:rsidR="009C701A" w:rsidRPr="009C701A" w:rsidRDefault="009C701A" w:rsidP="009C701A">
      <w:pPr>
        <w:keepNext/>
        <w:keepLines/>
        <w:ind w:left="450" w:hanging="450"/>
        <w:rPr>
          <w:sz w:val="24"/>
          <w:szCs w:val="24"/>
        </w:rPr>
      </w:pPr>
      <w:r w:rsidRPr="009C701A">
        <w:rPr>
          <w:sz w:val="24"/>
          <w:szCs w:val="24"/>
        </w:rPr>
        <w:tab/>
      </w:r>
      <w:r w:rsidRPr="009C701A">
        <w:rPr>
          <w:sz w:val="24"/>
          <w:szCs w:val="24"/>
        </w:rPr>
        <w:tab/>
      </w:r>
      <w:r w:rsidRPr="009C701A">
        <w:rPr>
          <w:sz w:val="24"/>
          <w:szCs w:val="24"/>
        </w:rPr>
        <w:tab/>
        <w:t>P</w:t>
      </w:r>
      <w:r w:rsidRPr="009C701A">
        <w:rPr>
          <w:sz w:val="24"/>
          <w:szCs w:val="24"/>
          <w:vertAlign w:val="subscript"/>
        </w:rPr>
        <w:t>o</w:t>
      </w:r>
      <w:r w:rsidRPr="009C701A">
        <w:rPr>
          <w:sz w:val="24"/>
          <w:szCs w:val="24"/>
        </w:rPr>
        <w:t xml:space="preserve"> </w:t>
      </w:r>
      <w:proofErr w:type="gramStart"/>
      <w:r w:rsidRPr="009C701A">
        <w:rPr>
          <w:sz w:val="24"/>
          <w:szCs w:val="24"/>
        </w:rPr>
        <w:t>=  ------------</w:t>
      </w:r>
      <w:proofErr w:type="gramEnd"/>
      <w:r w:rsidRPr="009C701A">
        <w:rPr>
          <w:sz w:val="24"/>
          <w:szCs w:val="24"/>
        </w:rPr>
        <w:t xml:space="preserve"> +  ------------  + . . . + -----------</w:t>
      </w:r>
    </w:p>
    <w:p w14:paraId="55479C18" w14:textId="77777777" w:rsidR="009C701A" w:rsidRPr="009C701A" w:rsidRDefault="009C701A" w:rsidP="009C701A">
      <w:pPr>
        <w:tabs>
          <w:tab w:val="left" w:pos="2610"/>
          <w:tab w:val="left" w:pos="4230"/>
          <w:tab w:val="left" w:pos="6210"/>
        </w:tabs>
        <w:spacing w:after="240" w:line="480" w:lineRule="auto"/>
        <w:ind w:left="446" w:hanging="446"/>
        <w:rPr>
          <w:sz w:val="24"/>
          <w:szCs w:val="24"/>
        </w:rPr>
      </w:pPr>
      <w:r w:rsidRPr="009C701A">
        <w:rPr>
          <w:sz w:val="24"/>
          <w:szCs w:val="24"/>
        </w:rPr>
        <w:t xml:space="preserve">                                  (1 + k</w:t>
      </w:r>
      <w:proofErr w:type="gramStart"/>
      <w:r w:rsidRPr="009C701A">
        <w:rPr>
          <w:sz w:val="24"/>
          <w:szCs w:val="24"/>
        </w:rPr>
        <w:t>)</w:t>
      </w:r>
      <w:r w:rsidRPr="009C701A">
        <w:rPr>
          <w:sz w:val="24"/>
          <w:szCs w:val="24"/>
          <w:vertAlign w:val="superscript"/>
        </w:rPr>
        <w:t>1</w:t>
      </w:r>
      <w:proofErr w:type="gramEnd"/>
      <w:r w:rsidRPr="009C701A">
        <w:rPr>
          <w:sz w:val="24"/>
          <w:szCs w:val="24"/>
        </w:rPr>
        <w:t xml:space="preserve">          (1 + k)</w:t>
      </w:r>
      <w:r w:rsidRPr="009C701A">
        <w:rPr>
          <w:sz w:val="24"/>
          <w:szCs w:val="24"/>
          <w:vertAlign w:val="superscript"/>
        </w:rPr>
        <w:t xml:space="preserve">2 </w:t>
      </w:r>
      <w:r w:rsidRPr="009C701A">
        <w:rPr>
          <w:sz w:val="24"/>
          <w:szCs w:val="24"/>
        </w:rPr>
        <w:t xml:space="preserve">                 (1 + k)</w:t>
      </w:r>
      <w:r w:rsidRPr="009C701A">
        <w:rPr>
          <w:sz w:val="24"/>
          <w:szCs w:val="24"/>
          <w:vertAlign w:val="superscript"/>
        </w:rPr>
        <w:t>n</w:t>
      </w:r>
    </w:p>
    <w:p w14:paraId="4862F112" w14:textId="60927E25" w:rsidR="007D2AB0" w:rsidRPr="006E2A8C" w:rsidRDefault="009C701A" w:rsidP="003D0C59">
      <w:pPr>
        <w:tabs>
          <w:tab w:val="left" w:pos="-3330"/>
          <w:tab w:val="num" w:pos="360"/>
          <w:tab w:val="left" w:pos="720"/>
        </w:tabs>
        <w:spacing w:after="120" w:line="480" w:lineRule="auto"/>
        <w:ind w:left="720" w:hanging="720"/>
        <w:jc w:val="both"/>
        <w:rPr>
          <w:sz w:val="24"/>
          <w:szCs w:val="24"/>
        </w:rPr>
      </w:pPr>
      <w:r w:rsidRPr="009C701A">
        <w:rPr>
          <w:sz w:val="24"/>
          <w:szCs w:val="24"/>
        </w:rPr>
        <w:tab/>
      </w:r>
      <w:r w:rsidRPr="009C701A">
        <w:rPr>
          <w:sz w:val="24"/>
          <w:szCs w:val="24"/>
        </w:rPr>
        <w:tab/>
        <w:t>where the variables are the same as in the equation in the previous question-and-answer, but there are more subscripts to indicate the different time periods to which the variables apply</w:t>
      </w:r>
      <w:r w:rsidR="00B24EC7">
        <w:rPr>
          <w:sz w:val="24"/>
          <w:szCs w:val="24"/>
        </w:rPr>
        <w:t xml:space="preserve"> (</w:t>
      </w:r>
      <w:r w:rsidRPr="009C701A">
        <w:rPr>
          <w:sz w:val="24"/>
          <w:szCs w:val="24"/>
        </w:rPr>
        <w:t>e.g.,</w:t>
      </w:r>
      <w:r w:rsidRPr="009C701A">
        <w:rPr>
          <w:i/>
          <w:sz w:val="24"/>
          <w:szCs w:val="24"/>
        </w:rPr>
        <w:t xml:space="preserve"> </w:t>
      </w:r>
      <w:r w:rsidRPr="009C701A">
        <w:rPr>
          <w:sz w:val="24"/>
          <w:szCs w:val="24"/>
        </w:rPr>
        <w:t>g</w:t>
      </w:r>
      <w:r w:rsidRPr="009C701A">
        <w:rPr>
          <w:sz w:val="24"/>
          <w:szCs w:val="24"/>
          <w:vertAlign w:val="subscript"/>
        </w:rPr>
        <w:t>1</w:t>
      </w:r>
      <w:r w:rsidRPr="009C701A">
        <w:rPr>
          <w:sz w:val="24"/>
          <w:szCs w:val="24"/>
        </w:rPr>
        <w:t xml:space="preserve"> represents the growth rate for the first period</w:t>
      </w:r>
      <w:r w:rsidR="0054220A">
        <w:rPr>
          <w:sz w:val="24"/>
          <w:szCs w:val="24"/>
        </w:rPr>
        <w:t>,</w:t>
      </w:r>
      <w:r w:rsidRPr="009C701A">
        <w:rPr>
          <w:sz w:val="24"/>
          <w:szCs w:val="24"/>
        </w:rPr>
        <w:t xml:space="preserve"> D</w:t>
      </w:r>
      <w:r w:rsidRPr="009C701A">
        <w:rPr>
          <w:sz w:val="24"/>
          <w:szCs w:val="24"/>
          <w:vertAlign w:val="subscript"/>
        </w:rPr>
        <w:t>2</w:t>
      </w:r>
      <w:r w:rsidR="00ED220E">
        <w:rPr>
          <w:sz w:val="24"/>
          <w:szCs w:val="24"/>
          <w:vertAlign w:val="subscript"/>
        </w:rPr>
        <w:t xml:space="preserve"> </w:t>
      </w:r>
      <w:r w:rsidR="00ED220E">
        <w:rPr>
          <w:sz w:val="24"/>
          <w:szCs w:val="24"/>
        </w:rPr>
        <w:t>represents</w:t>
      </w:r>
      <w:r w:rsidRPr="009C701A">
        <w:rPr>
          <w:sz w:val="24"/>
          <w:szCs w:val="24"/>
          <w:vertAlign w:val="subscript"/>
        </w:rPr>
        <w:t xml:space="preserve">, </w:t>
      </w:r>
      <w:r w:rsidRPr="009C701A">
        <w:rPr>
          <w:sz w:val="24"/>
          <w:szCs w:val="24"/>
        </w:rPr>
        <w:t>the dividend rate for the second period</w:t>
      </w:r>
      <w:r w:rsidR="0054220A">
        <w:rPr>
          <w:sz w:val="24"/>
          <w:szCs w:val="24"/>
        </w:rPr>
        <w:t>,</w:t>
      </w:r>
      <w:r w:rsidRPr="009C701A">
        <w:rPr>
          <w:sz w:val="24"/>
          <w:szCs w:val="24"/>
        </w:rPr>
        <w:t xml:space="preserve"> </w:t>
      </w:r>
      <w:r w:rsidRPr="00ED220E">
        <w:rPr>
          <w:sz w:val="24"/>
          <w:szCs w:val="24"/>
        </w:rPr>
        <w:t>g</w:t>
      </w:r>
      <w:r w:rsidR="00ED220E" w:rsidRPr="00ED220E">
        <w:rPr>
          <w:sz w:val="24"/>
          <w:szCs w:val="24"/>
          <w:vertAlign w:val="subscript"/>
        </w:rPr>
        <w:t>2</w:t>
      </w:r>
      <w:r w:rsidR="00ED220E">
        <w:rPr>
          <w:sz w:val="24"/>
          <w:szCs w:val="24"/>
        </w:rPr>
        <w:t xml:space="preserve"> represents </w:t>
      </w:r>
      <w:r w:rsidRPr="00ED220E">
        <w:rPr>
          <w:sz w:val="24"/>
          <w:szCs w:val="24"/>
        </w:rPr>
        <w:t>the</w:t>
      </w:r>
      <w:r w:rsidRPr="009C701A">
        <w:rPr>
          <w:sz w:val="24"/>
          <w:szCs w:val="24"/>
        </w:rPr>
        <w:t xml:space="preserve"> growth rate for the second period</w:t>
      </w:r>
      <w:r w:rsidR="0054220A">
        <w:rPr>
          <w:sz w:val="24"/>
          <w:szCs w:val="24"/>
        </w:rPr>
        <w:t>,</w:t>
      </w:r>
      <w:r w:rsidRPr="009C701A">
        <w:rPr>
          <w:sz w:val="24"/>
          <w:szCs w:val="24"/>
        </w:rPr>
        <w:t xml:space="preserve"> and so on</w:t>
      </w:r>
      <w:r w:rsidR="00B24EC7">
        <w:rPr>
          <w:sz w:val="24"/>
          <w:szCs w:val="24"/>
        </w:rPr>
        <w:t>)</w:t>
      </w:r>
      <w:r w:rsidRPr="009C701A">
        <w:rPr>
          <w:sz w:val="24"/>
          <w:szCs w:val="24"/>
        </w:rPr>
        <w:t>.  The “n” subscript represents</w:t>
      </w:r>
      <w:r w:rsidR="0054220A">
        <w:rPr>
          <w:sz w:val="24"/>
          <w:szCs w:val="24"/>
        </w:rPr>
        <w:t xml:space="preserve"> the number of</w:t>
      </w:r>
      <w:r w:rsidRPr="009C701A">
        <w:rPr>
          <w:sz w:val="24"/>
          <w:szCs w:val="24"/>
        </w:rPr>
        <w:t xml:space="preserve"> periods to be included (up to infinity).</w:t>
      </w:r>
    </w:p>
    <w:p w14:paraId="16C7218C" w14:textId="72CEF5EA" w:rsidR="007D2AB0" w:rsidRDefault="006B51BA" w:rsidP="003D0C59">
      <w:pPr>
        <w:pStyle w:val="question"/>
      </w:pPr>
      <w:r>
        <w:t>Q.</w:t>
      </w:r>
      <w:r>
        <w:tab/>
      </w:r>
      <w:r w:rsidR="006E2A8C" w:rsidRPr="006E2A8C">
        <w:t>What prices did you use for your DCF analyses?</w:t>
      </w:r>
    </w:p>
    <w:p w14:paraId="53101E38" w14:textId="262E2E61" w:rsidR="008316CF" w:rsidRPr="008316CF" w:rsidRDefault="00CC7A5F" w:rsidP="003D0C59">
      <w:pPr>
        <w:pStyle w:val="answer"/>
        <w:numPr>
          <w:ilvl w:val="0"/>
          <w:numId w:val="15"/>
        </w:numPr>
        <w:tabs>
          <w:tab w:val="clear" w:pos="360"/>
          <w:tab w:val="num" w:pos="-3420"/>
          <w:tab w:val="left" w:pos="720"/>
        </w:tabs>
        <w:spacing w:after="120"/>
        <w:ind w:left="720" w:right="0" w:hanging="720"/>
        <w:rPr>
          <w:b/>
        </w:rPr>
      </w:pPr>
      <w:r w:rsidRPr="00CC7A5F">
        <w:t xml:space="preserve">As shown on Attachment </w:t>
      </w:r>
      <w:r w:rsidR="0045268B">
        <w:t>JO</w:t>
      </w:r>
      <w:r w:rsidRPr="00CC7A5F">
        <w:t>-3, I used stock prices that are an average of weekly prices over a recent 12-week period</w:t>
      </w:r>
      <w:r>
        <w:t xml:space="preserve">, specifically </w:t>
      </w:r>
      <w:r w:rsidR="00DD5F85">
        <w:t>February 4</w:t>
      </w:r>
      <w:r>
        <w:t>, 201</w:t>
      </w:r>
      <w:r w:rsidR="00DD5F85">
        <w:t>9</w:t>
      </w:r>
      <w:r w:rsidR="001843C8">
        <w:t>,</w:t>
      </w:r>
      <w:r>
        <w:t xml:space="preserve"> through </w:t>
      </w:r>
      <w:r w:rsidR="00DD5F85">
        <w:t>April 22</w:t>
      </w:r>
      <w:r>
        <w:t>, 201</w:t>
      </w:r>
      <w:r w:rsidR="00DD5F85">
        <w:t>9</w:t>
      </w:r>
      <w:r w:rsidRPr="00CC7A5F">
        <w:t xml:space="preserve">.  </w:t>
      </w:r>
      <w:r w:rsidR="009D62CA">
        <w:t xml:space="preserve">I consider the </w:t>
      </w:r>
      <w:r w:rsidRPr="00CC7A5F">
        <w:t>12-week period long enough</w:t>
      </w:r>
      <w:r>
        <w:t xml:space="preserve"> </w:t>
      </w:r>
      <w:r w:rsidRPr="00CC7A5F">
        <w:t xml:space="preserve">to smooth out stock market fluctuations and </w:t>
      </w:r>
      <w:r>
        <w:t>accurately reflect</w:t>
      </w:r>
      <w:r w:rsidRPr="00CC7A5F">
        <w:t xml:space="preserve"> long-term expectations, </w:t>
      </w:r>
      <w:r>
        <w:t>but</w:t>
      </w:r>
      <w:r w:rsidRPr="00CC7A5F">
        <w:t xml:space="preserve"> </w:t>
      </w:r>
      <w:r>
        <w:t xml:space="preserve">short enough to reflect the most current </w:t>
      </w:r>
      <w:r w:rsidRPr="00CC7A5F">
        <w:t>information on</w:t>
      </w:r>
      <w:r>
        <w:t xml:space="preserve"> the</w:t>
      </w:r>
      <w:r w:rsidRPr="00CC7A5F">
        <w:t xml:space="preserve"> market</w:t>
      </w:r>
      <w:r>
        <w:t>’s</w:t>
      </w:r>
      <w:r w:rsidRPr="00CC7A5F">
        <w:t xml:space="preserve"> perceptions of risk, earnings growth, and dividend growth. </w:t>
      </w:r>
    </w:p>
    <w:p w14:paraId="0CE9C24A" w14:textId="22B637AE" w:rsidR="008316CF" w:rsidRPr="008316CF" w:rsidRDefault="006B51BA" w:rsidP="002457D8">
      <w:pPr>
        <w:pStyle w:val="question"/>
      </w:pPr>
      <w:r>
        <w:t>Q.</w:t>
      </w:r>
      <w:r>
        <w:tab/>
      </w:r>
      <w:r w:rsidR="008316CF" w:rsidRPr="008316CF">
        <w:t xml:space="preserve">What versions of the DCF </w:t>
      </w:r>
      <w:r w:rsidR="00153BC2">
        <w:t>methodology</w:t>
      </w:r>
      <w:r w:rsidR="008316CF" w:rsidRPr="008316CF">
        <w:t xml:space="preserve"> did you use in your analysis?</w:t>
      </w:r>
    </w:p>
    <w:p w14:paraId="7ECF4807" w14:textId="0E658DE3" w:rsidR="008316CF" w:rsidRPr="008316CF" w:rsidRDefault="008316CF" w:rsidP="003D0C59">
      <w:pPr>
        <w:numPr>
          <w:ilvl w:val="0"/>
          <w:numId w:val="15"/>
        </w:numPr>
        <w:tabs>
          <w:tab w:val="clear" w:pos="360"/>
          <w:tab w:val="num" w:pos="-3420"/>
          <w:tab w:val="left" w:pos="-3330"/>
          <w:tab w:val="left" w:pos="720"/>
        </w:tabs>
        <w:spacing w:after="120" w:line="480" w:lineRule="auto"/>
        <w:ind w:left="720" w:hanging="720"/>
        <w:jc w:val="both"/>
        <w:rPr>
          <w:sz w:val="24"/>
          <w:szCs w:val="24"/>
        </w:rPr>
      </w:pPr>
      <w:r w:rsidRPr="008316CF">
        <w:rPr>
          <w:sz w:val="24"/>
          <w:szCs w:val="24"/>
        </w:rPr>
        <w:t>I used both a single-stage version and a multistage version of the DCF model.</w:t>
      </w:r>
      <w:r w:rsidR="00561612">
        <w:rPr>
          <w:sz w:val="24"/>
          <w:szCs w:val="24"/>
        </w:rPr>
        <w:t xml:space="preserve"> </w:t>
      </w:r>
      <w:r w:rsidRPr="008316CF">
        <w:rPr>
          <w:sz w:val="24"/>
          <w:szCs w:val="24"/>
        </w:rPr>
        <w:t xml:space="preserve"> In the single-stage version, the stock’s dividend growth is based on analysts’ estimates of the utility’s earnings growth over the next five years. </w:t>
      </w:r>
      <w:r w:rsidR="00561612">
        <w:rPr>
          <w:sz w:val="24"/>
          <w:szCs w:val="24"/>
        </w:rPr>
        <w:t xml:space="preserve"> </w:t>
      </w:r>
      <w:r w:rsidRPr="008316CF">
        <w:rPr>
          <w:sz w:val="24"/>
          <w:szCs w:val="24"/>
        </w:rPr>
        <w:t xml:space="preserve">In the multistage version of the DCF model, I used a two-stage growth approach. </w:t>
      </w:r>
      <w:r w:rsidR="00561612">
        <w:rPr>
          <w:sz w:val="24"/>
          <w:szCs w:val="24"/>
        </w:rPr>
        <w:t xml:space="preserve"> </w:t>
      </w:r>
      <w:r w:rsidRPr="008316CF">
        <w:rPr>
          <w:sz w:val="24"/>
          <w:szCs w:val="24"/>
        </w:rPr>
        <w:t xml:space="preserve">The first stage </w:t>
      </w:r>
      <w:r w:rsidR="006D30D8">
        <w:rPr>
          <w:sz w:val="24"/>
          <w:szCs w:val="24"/>
        </w:rPr>
        <w:t>spans the next five years</w:t>
      </w:r>
      <w:r w:rsidRPr="008316CF">
        <w:rPr>
          <w:sz w:val="24"/>
          <w:szCs w:val="24"/>
        </w:rPr>
        <w:t xml:space="preserve"> and uses the same </w:t>
      </w:r>
      <w:r w:rsidR="006D30D8">
        <w:rPr>
          <w:sz w:val="24"/>
          <w:szCs w:val="24"/>
        </w:rPr>
        <w:t xml:space="preserve">growth estimates </w:t>
      </w:r>
      <w:r w:rsidR="00744CE6">
        <w:rPr>
          <w:sz w:val="24"/>
          <w:szCs w:val="24"/>
        </w:rPr>
        <w:t xml:space="preserve">as those </w:t>
      </w:r>
      <w:r w:rsidR="006D30D8">
        <w:rPr>
          <w:sz w:val="24"/>
          <w:szCs w:val="24"/>
        </w:rPr>
        <w:t>employed</w:t>
      </w:r>
      <w:r w:rsidRPr="008316CF">
        <w:rPr>
          <w:sz w:val="24"/>
          <w:szCs w:val="24"/>
        </w:rPr>
        <w:t xml:space="preserve"> in the single-stage version.</w:t>
      </w:r>
      <w:r w:rsidR="00561612">
        <w:rPr>
          <w:sz w:val="24"/>
          <w:szCs w:val="24"/>
        </w:rPr>
        <w:t xml:space="preserve"> </w:t>
      </w:r>
      <w:r w:rsidRPr="008316CF">
        <w:rPr>
          <w:sz w:val="24"/>
          <w:szCs w:val="24"/>
        </w:rPr>
        <w:t xml:space="preserve"> The second stage, which covers years </w:t>
      </w:r>
      <w:r w:rsidR="00120D6E">
        <w:rPr>
          <w:sz w:val="24"/>
          <w:szCs w:val="24"/>
        </w:rPr>
        <w:t>6</w:t>
      </w:r>
      <w:r w:rsidRPr="008316CF">
        <w:rPr>
          <w:sz w:val="24"/>
          <w:szCs w:val="24"/>
        </w:rPr>
        <w:t xml:space="preserve"> through 150, is based on a </w:t>
      </w:r>
      <w:r w:rsidR="006D30D8">
        <w:rPr>
          <w:sz w:val="24"/>
          <w:szCs w:val="24"/>
        </w:rPr>
        <w:t>5.</w:t>
      </w:r>
      <w:r w:rsidR="00F44AB9">
        <w:rPr>
          <w:sz w:val="24"/>
          <w:szCs w:val="24"/>
        </w:rPr>
        <w:t>14</w:t>
      </w:r>
      <w:r w:rsidRPr="008316CF">
        <w:rPr>
          <w:sz w:val="24"/>
          <w:szCs w:val="24"/>
        </w:rPr>
        <w:t xml:space="preserve">% projected long-term growth in </w:t>
      </w:r>
      <w:r w:rsidR="00163AA2">
        <w:rPr>
          <w:sz w:val="24"/>
          <w:szCs w:val="24"/>
        </w:rPr>
        <w:t>g</w:t>
      </w:r>
      <w:r w:rsidRPr="008316CF">
        <w:rPr>
          <w:sz w:val="24"/>
          <w:szCs w:val="24"/>
        </w:rPr>
        <w:t xml:space="preserve">ross </w:t>
      </w:r>
      <w:r w:rsidR="00163AA2">
        <w:rPr>
          <w:sz w:val="24"/>
          <w:szCs w:val="24"/>
        </w:rPr>
        <w:t>d</w:t>
      </w:r>
      <w:r w:rsidRPr="008316CF">
        <w:rPr>
          <w:sz w:val="24"/>
          <w:szCs w:val="24"/>
        </w:rPr>
        <w:t xml:space="preserve">omestic </w:t>
      </w:r>
      <w:r w:rsidR="00163AA2">
        <w:rPr>
          <w:sz w:val="24"/>
          <w:szCs w:val="24"/>
        </w:rPr>
        <w:t>p</w:t>
      </w:r>
      <w:r w:rsidRPr="008316CF">
        <w:rPr>
          <w:sz w:val="24"/>
          <w:szCs w:val="24"/>
        </w:rPr>
        <w:t>roduct (GDP) as discussed below.</w:t>
      </w:r>
    </w:p>
    <w:p w14:paraId="564B1D79" w14:textId="7B8BFF7A" w:rsidR="00D54374" w:rsidRDefault="006B51BA" w:rsidP="002457D8">
      <w:pPr>
        <w:pStyle w:val="question"/>
      </w:pPr>
      <w:r>
        <w:t>Q.</w:t>
      </w:r>
      <w:r>
        <w:tab/>
      </w:r>
      <w:r w:rsidR="00D54374">
        <w:t>Why did you use two versions of the DCF m</w:t>
      </w:r>
      <w:r w:rsidR="00153BC2">
        <w:t>ethodology</w:t>
      </w:r>
      <w:r w:rsidR="00D54374">
        <w:t>?</w:t>
      </w:r>
    </w:p>
    <w:p w14:paraId="1AB68EFD" w14:textId="273F0936" w:rsidR="00D54374" w:rsidRDefault="005F0E7C" w:rsidP="005F0E7C">
      <w:pPr>
        <w:pStyle w:val="answer"/>
        <w:numPr>
          <w:ilvl w:val="0"/>
          <w:numId w:val="15"/>
        </w:numPr>
        <w:tabs>
          <w:tab w:val="left" w:pos="720"/>
        </w:tabs>
        <w:spacing w:after="120"/>
        <w:ind w:right="0"/>
      </w:pPr>
      <w:r>
        <w:tab/>
      </w:r>
      <w:r w:rsidR="00D54374">
        <w:t xml:space="preserve">I used two versions of the DCF model because each model is reasonable in its own right </w:t>
      </w:r>
      <w:r>
        <w:tab/>
      </w:r>
      <w:r>
        <w:tab/>
      </w:r>
      <w:r>
        <w:tab/>
      </w:r>
      <w:r w:rsidR="00D54374">
        <w:t xml:space="preserve">and therefore likely to be used by investors. </w:t>
      </w:r>
      <w:r w:rsidR="0083281E">
        <w:t xml:space="preserve"> </w:t>
      </w:r>
      <w:r w:rsidR="00D54374">
        <w:t>My intent</w:t>
      </w:r>
      <w:r>
        <w:t xml:space="preserve"> </w:t>
      </w:r>
      <w:r w:rsidR="00D54374">
        <w:t xml:space="preserve">was to more closely approximate </w:t>
      </w:r>
      <w:r>
        <w:tab/>
      </w:r>
      <w:r>
        <w:tab/>
      </w:r>
      <w:r>
        <w:tab/>
      </w:r>
      <w:r w:rsidR="00D54374">
        <w:t>the expect</w:t>
      </w:r>
      <w:r>
        <w:t>ations of investors</w:t>
      </w:r>
      <w:r w:rsidR="000947CD">
        <w:t>,</w:t>
      </w:r>
      <w:r>
        <w:t xml:space="preserve"> on average</w:t>
      </w:r>
      <w:r w:rsidR="000947CD">
        <w:t>,</w:t>
      </w:r>
      <w:r>
        <w:t xml:space="preserve"> </w:t>
      </w:r>
      <w:r w:rsidRPr="005F0E7C">
        <w:t>by blending the two</w:t>
      </w:r>
      <w:r>
        <w:t xml:space="preserve"> models.</w:t>
      </w:r>
    </w:p>
    <w:p w14:paraId="0ED3A1F9" w14:textId="341E7DB7" w:rsidR="001B0EF3" w:rsidRPr="001B0EF3" w:rsidRDefault="006B51BA" w:rsidP="002457D8">
      <w:pPr>
        <w:pStyle w:val="question"/>
      </w:pPr>
      <w:r>
        <w:t>Q.</w:t>
      </w:r>
      <w:r>
        <w:tab/>
      </w:r>
      <w:r w:rsidR="001B0EF3" w:rsidRPr="001B0EF3">
        <w:t>What are the key assumptions underlying the DCF m</w:t>
      </w:r>
      <w:r w:rsidR="00153BC2">
        <w:t>ethodology</w:t>
      </w:r>
      <w:r w:rsidR="001B0EF3" w:rsidRPr="001B0EF3">
        <w:t>?</w:t>
      </w:r>
    </w:p>
    <w:p w14:paraId="6F1927DD" w14:textId="46AE798B" w:rsidR="001B0EF3" w:rsidRDefault="001B0EF3" w:rsidP="000768F3">
      <w:pPr>
        <w:pStyle w:val="answer"/>
        <w:spacing w:after="120"/>
        <w:ind w:right="0"/>
      </w:pPr>
      <w:r>
        <w:t>A.</w:t>
      </w:r>
      <w:r>
        <w:tab/>
      </w:r>
      <w:r>
        <w:tab/>
        <w:t>The model rests on three principal assumptions.  First, investors evaluate the expected risk and expected cash flows of all securities in the capital markets and, through the trading process, adjust the price of each security so that the expected return is commensurate with the expected risk.  Second, investors discount the expected cash flows at the same rate</w:t>
      </w:r>
      <w:r w:rsidR="00700703">
        <w:t xml:space="preserve"> (</w:t>
      </w:r>
      <w:r w:rsidRPr="009F541C">
        <w:rPr>
          <w:i/>
        </w:rPr>
        <w:t>k</w:t>
      </w:r>
      <w:r w:rsidR="00700703">
        <w:rPr>
          <w:i/>
        </w:rPr>
        <w:t xml:space="preserve">) </w:t>
      </w:r>
      <w:r>
        <w:t xml:space="preserve">in every future period.  Third, dividends, rather than earnings, constitute the source of value </w:t>
      </w:r>
      <w:r w:rsidR="00384555">
        <w:t xml:space="preserve">of </w:t>
      </w:r>
      <w:r>
        <w:t>a share of stock.  Absent a sale of stock, dividends are the only cash flows received by investors.  The earnings of the company that issue</w:t>
      </w:r>
      <w:r w:rsidR="009D00F0">
        <w:t>s</w:t>
      </w:r>
      <w:r>
        <w:t xml:space="preserve"> stock, however, are critical because</w:t>
      </w:r>
      <w:r w:rsidR="009D00F0">
        <w:t>:  (1)</w:t>
      </w:r>
      <w:r>
        <w:t xml:space="preserve"> they make it possible to pay dividends, and </w:t>
      </w:r>
      <w:r w:rsidR="009D00F0">
        <w:t xml:space="preserve">(2) they </w:t>
      </w:r>
      <w:r>
        <w:t xml:space="preserve">ultimately determine the level of growth </w:t>
      </w:r>
      <w:r w:rsidR="00384555">
        <w:t>of</w:t>
      </w:r>
      <w:r>
        <w:t xml:space="preserve"> the company and the growth in dividends</w:t>
      </w:r>
      <w:r w:rsidR="00384555">
        <w:t>.</w:t>
      </w:r>
    </w:p>
    <w:p w14:paraId="72506AA1" w14:textId="5834B5BF" w:rsidR="00B70865" w:rsidRPr="0088510E" w:rsidRDefault="006B51BA" w:rsidP="002457D8">
      <w:pPr>
        <w:pStyle w:val="question"/>
      </w:pPr>
      <w:r>
        <w:t>Q.</w:t>
      </w:r>
      <w:r>
        <w:tab/>
      </w:r>
      <w:r w:rsidR="00B70865" w:rsidRPr="0088510E">
        <w:t>Please describe the growth component of the DCF m</w:t>
      </w:r>
      <w:r w:rsidR="00D47E8C">
        <w:t>ethodology</w:t>
      </w:r>
      <w:r w:rsidR="00B70865" w:rsidRPr="0088510E">
        <w:t>.</w:t>
      </w:r>
    </w:p>
    <w:p w14:paraId="1217956E" w14:textId="131EF8B5" w:rsidR="00B70865" w:rsidRPr="008F620E" w:rsidRDefault="00B70865" w:rsidP="000768F3">
      <w:pPr>
        <w:pStyle w:val="answer"/>
        <w:tabs>
          <w:tab w:val="clear" w:pos="-3420"/>
          <w:tab w:val="left" w:pos="720"/>
        </w:tabs>
        <w:spacing w:after="120"/>
        <w:ind w:right="0"/>
      </w:pPr>
      <w:r>
        <w:t>A.</w:t>
      </w:r>
      <w:r>
        <w:tab/>
      </w:r>
      <w:r>
        <w:tab/>
      </w:r>
      <w:r w:rsidR="00217A98">
        <w:t xml:space="preserve">Given </w:t>
      </w:r>
      <w:r>
        <w:t>the relationship between sustainable earnings growth and dividend growth, the growth rate commonly used in the DCF is the earnings growth of the company whose cost of equity is being estimated.  E</w:t>
      </w:r>
      <w:r w:rsidRPr="008F620E">
        <w:t xml:space="preserve">stimates </w:t>
      </w:r>
      <w:r>
        <w:t>of earnings growth are appropriate because t</w:t>
      </w:r>
      <w:r w:rsidRPr="008F620E">
        <w:t xml:space="preserve">he issue is not the rate at which the firm will actually grow (which is a function of regulatory actions, management ability, economic conditions, </w:t>
      </w:r>
      <w:r>
        <w:t>etc.</w:t>
      </w:r>
      <w:r w:rsidRPr="008F620E">
        <w:t xml:space="preserve">), but rather </w:t>
      </w:r>
      <w:r w:rsidR="00C84AE9">
        <w:t xml:space="preserve">investors’ </w:t>
      </w:r>
      <w:r w:rsidRPr="008F620E">
        <w:t>growth expectation</w:t>
      </w:r>
      <w:r w:rsidR="00C84AE9">
        <w:t xml:space="preserve">s, which are </w:t>
      </w:r>
      <w:r w:rsidRPr="008F620E">
        <w:t>embodied in the current price of the stock</w:t>
      </w:r>
      <w:r>
        <w:t xml:space="preserve">.  </w:t>
      </w:r>
    </w:p>
    <w:p w14:paraId="74FBBB17" w14:textId="5113B24B" w:rsidR="00B70865" w:rsidRPr="0088510E" w:rsidRDefault="006B51BA" w:rsidP="002457D8">
      <w:pPr>
        <w:pStyle w:val="question"/>
      </w:pPr>
      <w:r>
        <w:t>Q.</w:t>
      </w:r>
      <w:r>
        <w:tab/>
      </w:r>
      <w:r w:rsidR="00B70865" w:rsidRPr="0088510E">
        <w:t>Is it possibl</w:t>
      </w:r>
      <w:r w:rsidR="00B70865">
        <w:t>e to know what expected earnings</w:t>
      </w:r>
      <w:r w:rsidR="00B70865" w:rsidRPr="0088510E">
        <w:t xml:space="preserve"> growth rate is actually embodied in the price of a stock?</w:t>
      </w:r>
    </w:p>
    <w:p w14:paraId="78454AED" w14:textId="18C540E7" w:rsidR="00B70865" w:rsidRDefault="00B70865" w:rsidP="000768F3">
      <w:pPr>
        <w:pStyle w:val="answer"/>
        <w:numPr>
          <w:ilvl w:val="0"/>
          <w:numId w:val="15"/>
        </w:numPr>
        <w:tabs>
          <w:tab w:val="clear" w:pos="360"/>
          <w:tab w:val="num" w:pos="-3420"/>
          <w:tab w:val="left" w:pos="720"/>
        </w:tabs>
        <w:spacing w:after="120"/>
        <w:ind w:left="720" w:right="0" w:hanging="720"/>
      </w:pPr>
      <w:r w:rsidRPr="0088510E">
        <w:t>No</w:t>
      </w:r>
      <w:r>
        <w:t xml:space="preserve">.  </w:t>
      </w:r>
      <w:r w:rsidRPr="00D45EA6">
        <w:t>T</w:t>
      </w:r>
      <w:r w:rsidRPr="0088510E">
        <w:t>here is no objective way to precisely determine the growth rate expected by a consensus of investors</w:t>
      </w:r>
      <w:r>
        <w:t xml:space="preserve">.  </w:t>
      </w:r>
      <w:r w:rsidR="006D2691">
        <w:t xml:space="preserve">Regardless of which </w:t>
      </w:r>
      <w:r w:rsidRPr="0088510E">
        <w:t>technique is used, the best that can be said of any estimate developed by a rate-of-return analyst is that it is a reasonable proxy for investors</w:t>
      </w:r>
      <w:r>
        <w:t>’</w:t>
      </w:r>
      <w:r w:rsidRPr="0088510E">
        <w:t xml:space="preserve"> consensus expectations about growth.</w:t>
      </w:r>
    </w:p>
    <w:p w14:paraId="6173A19D" w14:textId="6E9D6701" w:rsidR="00B70865" w:rsidRPr="0088510E" w:rsidRDefault="006B51BA" w:rsidP="002457D8">
      <w:pPr>
        <w:pStyle w:val="question"/>
      </w:pPr>
      <w:r>
        <w:t>Q.</w:t>
      </w:r>
      <w:r>
        <w:tab/>
      </w:r>
      <w:r w:rsidR="00B70865" w:rsidRPr="0088510E">
        <w:t>What estimates for the growth expectations of investors</w:t>
      </w:r>
      <w:r w:rsidR="00B70865">
        <w:t xml:space="preserve"> did you use in your DCF analyse</w:t>
      </w:r>
      <w:r w:rsidR="00B70865" w:rsidRPr="0088510E">
        <w:t>s?</w:t>
      </w:r>
    </w:p>
    <w:p w14:paraId="2C0BF614" w14:textId="765C3298" w:rsidR="00B70865" w:rsidRPr="009C4763" w:rsidRDefault="00B70865" w:rsidP="00B70865">
      <w:pPr>
        <w:pStyle w:val="answer"/>
        <w:numPr>
          <w:ilvl w:val="0"/>
          <w:numId w:val="15"/>
        </w:numPr>
        <w:tabs>
          <w:tab w:val="clear" w:pos="360"/>
          <w:tab w:val="num" w:pos="-3420"/>
          <w:tab w:val="left" w:pos="720"/>
        </w:tabs>
        <w:spacing w:after="0"/>
        <w:ind w:left="720" w:right="0" w:hanging="720"/>
      </w:pPr>
      <w:r w:rsidRPr="009C4763">
        <w:t xml:space="preserve">I relied </w:t>
      </w:r>
      <w:r w:rsidR="002D2328">
        <w:t>on</w:t>
      </w:r>
      <w:r w:rsidRPr="009C4763">
        <w:t xml:space="preserve"> Value </w:t>
      </w:r>
      <w:r>
        <w:t>Line</w:t>
      </w:r>
      <w:r w:rsidR="006D187B">
        <w:t xml:space="preserve">’s </w:t>
      </w:r>
      <w:r w:rsidR="006D187B" w:rsidRPr="006D187B">
        <w:rPr>
          <w:i/>
        </w:rPr>
        <w:t>Ratings and Reports</w:t>
      </w:r>
      <w:r>
        <w:t xml:space="preserve"> and </w:t>
      </w:r>
      <w:proofErr w:type="spellStart"/>
      <w:r>
        <w:t>Zacks</w:t>
      </w:r>
      <w:proofErr w:type="spellEnd"/>
      <w:r>
        <w:t xml:space="preserve"> for the earnings</w:t>
      </w:r>
      <w:r w:rsidRPr="009C4763">
        <w:t xml:space="preserve"> growth rate</w:t>
      </w:r>
      <w:r>
        <w:t>s</w:t>
      </w:r>
      <w:r w:rsidRPr="009C4763">
        <w:t xml:space="preserve"> in the single-stage DCF model and the first stage of the multistage DCF model.  I used Value Line because it is</w:t>
      </w:r>
      <w:r>
        <w:t xml:space="preserve"> one of the nation’s largest</w:t>
      </w:r>
      <w:r w:rsidR="002D2328">
        <w:t>,</w:t>
      </w:r>
      <w:r>
        <w:t xml:space="preserve"> independent investment research services as well as a major money management institution</w:t>
      </w:r>
      <w:r w:rsidRPr="009C4763">
        <w:t>,</w:t>
      </w:r>
      <w:r w:rsidRPr="009C4763">
        <w:rPr>
          <w:rStyle w:val="FootnoteReference"/>
        </w:rPr>
        <w:footnoteReference w:id="13"/>
      </w:r>
      <w:r w:rsidRPr="009C4763">
        <w:t xml:space="preserve"> and I </w:t>
      </w:r>
      <w:r w:rsidR="002D2328">
        <w:t>used</w:t>
      </w:r>
      <w:r w:rsidRPr="009C4763">
        <w:t xml:space="preserve"> </w:t>
      </w:r>
      <w:proofErr w:type="spellStart"/>
      <w:r w:rsidRPr="009C4763">
        <w:t>Zacks</w:t>
      </w:r>
      <w:proofErr w:type="spellEnd"/>
      <w:r w:rsidRPr="009C4763">
        <w:t xml:space="preserve"> because it compiles </w:t>
      </w:r>
      <w:r w:rsidR="00C40E41">
        <w:t>aggregate</w:t>
      </w:r>
      <w:r w:rsidRPr="009C4763">
        <w:t xml:space="preserve"> earnings </w:t>
      </w:r>
      <w:r w:rsidR="00CB5AE2">
        <w:t>estimates</w:t>
      </w:r>
      <w:r w:rsidRPr="009C4763">
        <w:t xml:space="preserve"> </w:t>
      </w:r>
      <w:r w:rsidR="00CB5AE2">
        <w:t xml:space="preserve">made available by </w:t>
      </w:r>
      <w:r w:rsidRPr="009C4763">
        <w:t xml:space="preserve">professional </w:t>
      </w:r>
      <w:r w:rsidR="00CB5AE2">
        <w:t xml:space="preserve">security </w:t>
      </w:r>
      <w:r w:rsidRPr="009C4763">
        <w:t>analysts.</w:t>
      </w:r>
      <w:r w:rsidR="00BB207A">
        <w:rPr>
          <w:rStyle w:val="FootnoteReference"/>
        </w:rPr>
        <w:footnoteReference w:id="14"/>
      </w:r>
      <w:r w:rsidRPr="009C4763">
        <w:t xml:space="preserve"> </w:t>
      </w:r>
    </w:p>
    <w:p w14:paraId="61EC2246" w14:textId="143E17D2" w:rsidR="00B70865" w:rsidRDefault="00DF6484" w:rsidP="003468DE">
      <w:pPr>
        <w:pStyle w:val="additionalparagraph"/>
        <w:spacing w:after="120"/>
        <w:ind w:right="0" w:firstLine="0"/>
      </w:pPr>
      <w:r>
        <w:tab/>
      </w:r>
      <w:r w:rsidR="00B70865" w:rsidRPr="009C4763">
        <w:t>For the second stage of the multistage DCF model, I used an expected long-run nomi</w:t>
      </w:r>
      <w:r w:rsidR="00B70865">
        <w:t>nal growth rate of 5.</w:t>
      </w:r>
      <w:r w:rsidR="00692441">
        <w:t>14</w:t>
      </w:r>
      <w:r w:rsidR="00B70865" w:rsidRPr="009C4763">
        <w:t xml:space="preserve">%, </w:t>
      </w:r>
      <w:r w:rsidR="00B70865">
        <w:t>consisting</w:t>
      </w:r>
      <w:r w:rsidR="00B70865" w:rsidRPr="009C4763">
        <w:t xml:space="preserve"> of</w:t>
      </w:r>
      <w:r w:rsidR="008E574B">
        <w:t xml:space="preserve"> </w:t>
      </w:r>
      <w:r w:rsidR="00B47366">
        <w:t xml:space="preserve">(1) </w:t>
      </w:r>
      <w:r w:rsidR="008E574B">
        <w:t>the 3.</w:t>
      </w:r>
      <w:r w:rsidR="00692441">
        <w:t>14</w:t>
      </w:r>
      <w:r w:rsidR="00B70865" w:rsidRPr="009C4763">
        <w:t>% per year average real growth</w:t>
      </w:r>
      <w:r w:rsidR="002441A4">
        <w:t xml:space="preserve"> </w:t>
      </w:r>
      <w:r w:rsidR="00B70865" w:rsidRPr="009C4763">
        <w:t xml:space="preserve">rate of GDP </w:t>
      </w:r>
      <w:r w:rsidR="00B70865">
        <w:t>for the period 19</w:t>
      </w:r>
      <w:r w:rsidR="00692441">
        <w:t>51</w:t>
      </w:r>
      <w:r w:rsidR="00B70865">
        <w:t xml:space="preserve"> through 201</w:t>
      </w:r>
      <w:r w:rsidR="00554D8C">
        <w:t>8</w:t>
      </w:r>
      <w:r w:rsidR="00B70865" w:rsidRPr="009C4763">
        <w:t xml:space="preserve"> as calculated from data reported by the U.S. Bureau of Economic Analysis,</w:t>
      </w:r>
      <w:r w:rsidR="00B70865" w:rsidRPr="009C4763">
        <w:rPr>
          <w:rStyle w:val="FootnoteReference"/>
        </w:rPr>
        <w:footnoteReference w:id="15"/>
      </w:r>
      <w:r w:rsidR="00B70865" w:rsidRPr="009C4763">
        <w:t xml:space="preserve"> </w:t>
      </w:r>
      <w:r w:rsidR="00B70865">
        <w:t>and</w:t>
      </w:r>
      <w:r w:rsidR="00B70865" w:rsidRPr="009C4763">
        <w:t xml:space="preserve"> </w:t>
      </w:r>
      <w:r w:rsidR="00B47366">
        <w:t xml:space="preserve">(2) </w:t>
      </w:r>
      <w:r w:rsidR="00B70865" w:rsidRPr="009C4763">
        <w:t xml:space="preserve">the 2.00% rate of inflation forecast by </w:t>
      </w:r>
      <w:r w:rsidR="006A71A8">
        <w:t xml:space="preserve">the </w:t>
      </w:r>
      <w:r w:rsidR="00B70865" w:rsidRPr="009C4763">
        <w:t>Federal Reserve System</w:t>
      </w:r>
      <w:r w:rsidR="00B15181">
        <w:t xml:space="preserve"> (FED)</w:t>
      </w:r>
      <w:r w:rsidR="00B70865" w:rsidRPr="009C4763">
        <w:t xml:space="preserve"> in </w:t>
      </w:r>
      <w:r w:rsidR="00B47366">
        <w:t xml:space="preserve">its </w:t>
      </w:r>
      <w:r w:rsidR="00A167B2">
        <w:t>February 22, 2019</w:t>
      </w:r>
      <w:r w:rsidR="006A71A8">
        <w:t>,</w:t>
      </w:r>
      <w:r w:rsidR="00A167B2">
        <w:t xml:space="preserve"> </w:t>
      </w:r>
      <w:r w:rsidR="00A167B2" w:rsidRPr="008122F0">
        <w:t>Monetary Policy Report</w:t>
      </w:r>
      <w:r w:rsidR="00B70865" w:rsidRPr="009C4763">
        <w:t>.</w:t>
      </w:r>
      <w:r w:rsidR="00B70865" w:rsidRPr="009C4763">
        <w:rPr>
          <w:rStyle w:val="FootnoteReference"/>
        </w:rPr>
        <w:footnoteReference w:id="16"/>
      </w:r>
      <w:r w:rsidR="00B70865" w:rsidRPr="009C4763">
        <w:t xml:space="preserve">  These widely disseminated data are generally considered credible by investors.</w:t>
      </w:r>
      <w:r w:rsidR="00B70865" w:rsidRPr="0021301B">
        <w:t xml:space="preserve"> </w:t>
      </w:r>
    </w:p>
    <w:p w14:paraId="3AF54E21" w14:textId="7C460218" w:rsidR="007D12B4" w:rsidRDefault="007D12B4" w:rsidP="007D12B4">
      <w:pPr>
        <w:pStyle w:val="question"/>
      </w:pPr>
      <w:r>
        <w:t>Q.</w:t>
      </w:r>
      <w:r>
        <w:tab/>
      </w:r>
      <w:r w:rsidR="00C566E7">
        <w:t>Did you consider any other nominal growth rates besides the 5.14% referenced above?</w:t>
      </w:r>
    </w:p>
    <w:p w14:paraId="6FC3268C" w14:textId="2B06454F" w:rsidR="007D12B4" w:rsidRPr="004E5C78" w:rsidRDefault="00C566E7" w:rsidP="00B222B9">
      <w:pPr>
        <w:pStyle w:val="answer"/>
        <w:numPr>
          <w:ilvl w:val="0"/>
          <w:numId w:val="15"/>
        </w:numPr>
        <w:tabs>
          <w:tab w:val="clear" w:pos="360"/>
          <w:tab w:val="num" w:pos="-3420"/>
          <w:tab w:val="left" w:pos="720"/>
        </w:tabs>
        <w:spacing w:after="0"/>
        <w:ind w:left="720" w:right="0" w:hanging="720"/>
        <w:rPr>
          <w:b/>
        </w:rPr>
      </w:pPr>
      <w:r>
        <w:t>Yes.</w:t>
      </w:r>
      <w:r w:rsidR="0096362E">
        <w:t xml:space="preserve"> </w:t>
      </w:r>
      <w:r>
        <w:t xml:space="preserve"> I considered t</w:t>
      </w:r>
      <w:r w:rsidR="00E34A5B">
        <w:t>wo</w:t>
      </w:r>
      <w:r w:rsidR="00BE5D26">
        <w:t xml:space="preserve"> </w:t>
      </w:r>
      <w:r w:rsidR="00443BC9">
        <w:t xml:space="preserve">other </w:t>
      </w:r>
      <w:r w:rsidR="00BE5D26">
        <w:t>nominal growth rates</w:t>
      </w:r>
      <w:r>
        <w:t>:</w:t>
      </w:r>
      <w:r w:rsidR="0070734E">
        <w:t xml:space="preserve"> </w:t>
      </w:r>
      <w:r>
        <w:t xml:space="preserve"> (1) </w:t>
      </w:r>
      <w:r w:rsidR="00BE5D26">
        <w:t>a 3.8</w:t>
      </w:r>
      <w:r w:rsidR="002832FC">
        <w:t>4</w:t>
      </w:r>
      <w:r w:rsidR="00BE5D26">
        <w:t>% rate that represents the average of forecasted GDP growth rates for the 10-year period from 2020 to 2029</w:t>
      </w:r>
      <w:r w:rsidR="008E1BD3">
        <w:t>,</w:t>
      </w:r>
      <w:r w:rsidR="00BE5D26">
        <w:t xml:space="preserve"> published by the Congressional Budget Office (CBO) in its </w:t>
      </w:r>
      <w:r w:rsidR="009C3E9A">
        <w:t xml:space="preserve">report </w:t>
      </w:r>
      <w:r w:rsidR="009C3E9A" w:rsidRPr="00FE5F6E">
        <w:rPr>
          <w:i/>
        </w:rPr>
        <w:t>The Budget and Economic Output: 2019 to 2029</w:t>
      </w:r>
      <w:r w:rsidR="009C3E9A">
        <w:t>;</w:t>
      </w:r>
      <w:r w:rsidR="00992F0A" w:rsidRPr="009C4763">
        <w:rPr>
          <w:rStyle w:val="FootnoteReference"/>
        </w:rPr>
        <w:footnoteReference w:id="17"/>
      </w:r>
      <w:r w:rsidR="009C3E9A">
        <w:t xml:space="preserve"> </w:t>
      </w:r>
      <w:r w:rsidR="00C56749">
        <w:t xml:space="preserve">and </w:t>
      </w:r>
      <w:r w:rsidR="009C3E9A">
        <w:t xml:space="preserve">(2) </w:t>
      </w:r>
      <w:r w:rsidR="00C56749">
        <w:t xml:space="preserve">a 3.90% rate that resulted from adding the </w:t>
      </w:r>
      <w:r w:rsidR="00C56749" w:rsidRPr="00DF0FA5">
        <w:t>longer-run personal consumption expenditures inflation</w:t>
      </w:r>
      <w:r w:rsidR="00C56749" w:rsidRPr="008122F0">
        <w:t xml:space="preserve"> (</w:t>
      </w:r>
      <w:r w:rsidR="00C56749" w:rsidRPr="004E5C78">
        <w:rPr>
          <w:i/>
        </w:rPr>
        <w:t>PCE inflation</w:t>
      </w:r>
      <w:r w:rsidR="00C56749" w:rsidRPr="008122F0">
        <w:t>)</w:t>
      </w:r>
      <w:r w:rsidR="00C56749">
        <w:t xml:space="preserve"> rate of 2% to the midpoint </w:t>
      </w:r>
      <w:r w:rsidR="00C56749" w:rsidRPr="008122F0">
        <w:rPr>
          <w:i/>
        </w:rPr>
        <w:t>change in real GDP</w:t>
      </w:r>
      <w:r w:rsidR="00C56749">
        <w:t xml:space="preserve"> of 1.9% </w:t>
      </w:r>
      <w:r w:rsidR="00261130">
        <w:t xml:space="preserve">as published in the FED’s </w:t>
      </w:r>
      <w:r w:rsidR="00261130" w:rsidRPr="00261130">
        <w:t>Monetary Policy Report</w:t>
      </w:r>
      <w:r w:rsidR="00261130">
        <w:t xml:space="preserve"> of </w:t>
      </w:r>
      <w:r w:rsidR="00261130" w:rsidRPr="00261130">
        <w:t>February 22, 2019</w:t>
      </w:r>
      <w:r w:rsidR="00261130">
        <w:t>.</w:t>
      </w:r>
      <w:r w:rsidR="00362FE8">
        <w:rPr>
          <w:rStyle w:val="FootnoteReference"/>
        </w:rPr>
        <w:footnoteReference w:id="18"/>
      </w:r>
      <w:r w:rsidR="007D12B4" w:rsidRPr="00CC7A5F">
        <w:t xml:space="preserve"> </w:t>
      </w:r>
    </w:p>
    <w:p w14:paraId="72E4479A" w14:textId="7474EE6A" w:rsidR="00C22C5F" w:rsidRPr="008316CF" w:rsidRDefault="003E470F" w:rsidP="004E5C78">
      <w:pPr>
        <w:pStyle w:val="answer"/>
        <w:tabs>
          <w:tab w:val="clear" w:pos="-3420"/>
          <w:tab w:val="clear" w:pos="360"/>
          <w:tab w:val="left" w:pos="720"/>
        </w:tabs>
        <w:spacing w:after="0"/>
        <w:ind w:right="0" w:firstLine="0"/>
        <w:rPr>
          <w:b/>
        </w:rPr>
      </w:pPr>
      <w:r>
        <w:tab/>
      </w:r>
      <w:r w:rsidR="00F741E6">
        <w:t>The use of</w:t>
      </w:r>
      <w:r w:rsidR="00CA0797">
        <w:t xml:space="preserve"> th</w:t>
      </w:r>
      <w:r w:rsidR="00C22C5F">
        <w:t>e 3.8</w:t>
      </w:r>
      <w:r w:rsidR="00AA2B27">
        <w:t>4</w:t>
      </w:r>
      <w:r w:rsidR="00C22C5F">
        <w:t>% and 3.90% grow</w:t>
      </w:r>
      <w:r w:rsidR="00CA0797">
        <w:t>th rates</w:t>
      </w:r>
      <w:r w:rsidR="00F741E6">
        <w:t xml:space="preserve"> in </w:t>
      </w:r>
      <w:r w:rsidR="00CA0797">
        <w:t xml:space="preserve">the multistage DCF </w:t>
      </w:r>
      <w:r w:rsidR="001C6C8A">
        <w:t xml:space="preserve">model </w:t>
      </w:r>
      <w:r w:rsidR="00F741E6">
        <w:t xml:space="preserve">resulted in an average </w:t>
      </w:r>
      <w:r w:rsidR="00CA0797">
        <w:t>cost of equity of</w:t>
      </w:r>
      <w:r>
        <w:t xml:space="preserve"> 7.1</w:t>
      </w:r>
      <w:r w:rsidR="00D86FFD">
        <w:t>6</w:t>
      </w:r>
      <w:r>
        <w:t>% and 7.22%</w:t>
      </w:r>
      <w:r w:rsidR="00E874D7">
        <w:t>,</w:t>
      </w:r>
      <w:r>
        <w:t xml:space="preserve"> respectively.</w:t>
      </w:r>
      <w:r w:rsidR="00CA0797">
        <w:t xml:space="preserve"> </w:t>
      </w:r>
    </w:p>
    <w:p w14:paraId="6A6ADD29" w14:textId="46AE29AB" w:rsidR="001C583D" w:rsidRPr="0088510E" w:rsidRDefault="001C583D" w:rsidP="001C583D">
      <w:pPr>
        <w:pStyle w:val="question"/>
      </w:pPr>
      <w:r>
        <w:t>Q.</w:t>
      </w:r>
      <w:r>
        <w:tab/>
      </w:r>
      <w:r w:rsidR="00AF2CE2">
        <w:t xml:space="preserve">Did </w:t>
      </w:r>
      <w:r w:rsidR="00AF2CE2" w:rsidRPr="00AF2CE2">
        <w:t>you directly incorporate the</w:t>
      </w:r>
      <w:r w:rsidR="00AF2CE2">
        <w:t xml:space="preserve"> cost of equity</w:t>
      </w:r>
      <w:r w:rsidR="00AF2CE2" w:rsidRPr="00AF2CE2">
        <w:t xml:space="preserve"> results of 7.1</w:t>
      </w:r>
      <w:r w:rsidR="005F193C">
        <w:t>6</w:t>
      </w:r>
      <w:r w:rsidR="00AF2CE2" w:rsidRPr="00AF2CE2">
        <w:t>% and 7.22% into your estimate of the Company’s cost of equity?</w:t>
      </w:r>
    </w:p>
    <w:p w14:paraId="20B35F7D" w14:textId="316D3006" w:rsidR="001C583D" w:rsidRPr="002464E8" w:rsidRDefault="008B5696" w:rsidP="00AF2CE2">
      <w:pPr>
        <w:pStyle w:val="answer"/>
        <w:numPr>
          <w:ilvl w:val="0"/>
          <w:numId w:val="15"/>
        </w:numPr>
        <w:tabs>
          <w:tab w:val="clear" w:pos="360"/>
          <w:tab w:val="num" w:pos="-3420"/>
          <w:tab w:val="left" w:pos="720"/>
        </w:tabs>
        <w:spacing w:after="120"/>
        <w:ind w:left="720" w:right="0" w:hanging="720"/>
      </w:pPr>
      <w:r>
        <w:t>No.</w:t>
      </w:r>
      <w:r w:rsidR="00AF2CE2" w:rsidRPr="00AF2CE2">
        <w:t xml:space="preserve">  </w:t>
      </w:r>
      <w:r w:rsidR="00A76297">
        <w:t>For the same reason that I did not directly incorporate the results of the capital asset pricing model in my analysis, as I will describe later in my testimony, I similarly</w:t>
      </w:r>
      <w:r w:rsidR="00AF2CE2" w:rsidRPr="00AF2CE2">
        <w:t xml:space="preserve"> did not directly incorporate the</w:t>
      </w:r>
      <w:r w:rsidR="008943D3">
        <w:t xml:space="preserve">se </w:t>
      </w:r>
      <w:r w:rsidR="00AF2CE2" w:rsidRPr="00AF2CE2">
        <w:t xml:space="preserve">results in my analysis because </w:t>
      </w:r>
      <w:r w:rsidR="008943D3">
        <w:t>they</w:t>
      </w:r>
      <w:r w:rsidR="00AF2CE2" w:rsidRPr="00AF2CE2">
        <w:t xml:space="preserve"> </w:t>
      </w:r>
      <w:r w:rsidR="00F852FA">
        <w:t>are</w:t>
      </w:r>
      <w:r w:rsidR="00AF2CE2" w:rsidRPr="00AF2CE2">
        <w:t xml:space="preserve"> markedly lower than the other estimates I calculated.  </w:t>
      </w:r>
    </w:p>
    <w:p w14:paraId="008844D4" w14:textId="251ABB88" w:rsidR="003D2B66" w:rsidRPr="003D2B66" w:rsidRDefault="006B51BA" w:rsidP="002457D8">
      <w:pPr>
        <w:pStyle w:val="question"/>
      </w:pPr>
      <w:r>
        <w:t>Q.</w:t>
      </w:r>
      <w:r>
        <w:tab/>
      </w:r>
      <w:r w:rsidR="003D2B66" w:rsidRPr="003D2B66">
        <w:t>Why do you use a consensus forecast from professional security analysts rather than historical data as a proxy for investor</w:t>
      </w:r>
      <w:r w:rsidR="00BA7680">
        <w:t xml:space="preserve">s’ growth </w:t>
      </w:r>
      <w:r w:rsidR="003D2B66" w:rsidRPr="003D2B66">
        <w:t xml:space="preserve">expectations? </w:t>
      </w:r>
    </w:p>
    <w:p w14:paraId="06C53483" w14:textId="1EE21474" w:rsidR="003D2B66" w:rsidRPr="003D2B66" w:rsidRDefault="003D2B66" w:rsidP="00A46E3C">
      <w:pPr>
        <w:numPr>
          <w:ilvl w:val="0"/>
          <w:numId w:val="15"/>
        </w:numPr>
        <w:tabs>
          <w:tab w:val="clear" w:pos="360"/>
          <w:tab w:val="num" w:pos="-3420"/>
          <w:tab w:val="left" w:pos="-3330"/>
          <w:tab w:val="left" w:pos="720"/>
        </w:tabs>
        <w:spacing w:line="480" w:lineRule="auto"/>
        <w:ind w:left="720" w:hanging="720"/>
        <w:jc w:val="both"/>
        <w:rPr>
          <w:sz w:val="24"/>
          <w:szCs w:val="24"/>
        </w:rPr>
      </w:pPr>
      <w:r w:rsidRPr="003D2B66">
        <w:rPr>
          <w:sz w:val="24"/>
          <w:szCs w:val="24"/>
        </w:rPr>
        <w:t>I use professional security analysts’ forecasts instead of historical data</w:t>
      </w:r>
      <w:r w:rsidR="00610784">
        <w:rPr>
          <w:sz w:val="24"/>
          <w:szCs w:val="24"/>
        </w:rPr>
        <w:t xml:space="preserve"> for three reasons</w:t>
      </w:r>
      <w:r w:rsidRPr="003D2B66">
        <w:rPr>
          <w:sz w:val="24"/>
          <w:szCs w:val="24"/>
        </w:rPr>
        <w:t>.  First, the cost of equity is a forward-looking concept, and security analysts use extensive and sophisticated financial models to forecast growth rates.  To the extent that historical growth rates for dividends, earnings, and book values are relevant to future growth, they are already incorporated into these forecasts.  In addition, other pertinent information—such as general economic projections and the impact of new legislation, regulatory actions, and technological advancements—is factored into the projections made by investment advisory firms, providing a more comprehensive estimate and reflecting a broader base of relevant information.</w:t>
      </w:r>
    </w:p>
    <w:p w14:paraId="567C419C" w14:textId="6901052B" w:rsidR="003D2B66" w:rsidRPr="003D2B66" w:rsidRDefault="003D2B66" w:rsidP="003D2B66">
      <w:pPr>
        <w:spacing w:line="480" w:lineRule="auto"/>
        <w:ind w:left="720" w:firstLine="720"/>
        <w:jc w:val="both"/>
        <w:rPr>
          <w:sz w:val="24"/>
          <w:szCs w:val="24"/>
        </w:rPr>
      </w:pPr>
      <w:r w:rsidRPr="003D2B66">
        <w:rPr>
          <w:sz w:val="24"/>
          <w:szCs w:val="24"/>
        </w:rPr>
        <w:t xml:space="preserve">Second, it is not </w:t>
      </w:r>
      <w:r w:rsidR="00EE52CA">
        <w:rPr>
          <w:sz w:val="24"/>
          <w:szCs w:val="24"/>
        </w:rPr>
        <w:t>reasonable</w:t>
      </w:r>
      <w:r w:rsidRPr="003D2B66">
        <w:rPr>
          <w:sz w:val="24"/>
          <w:szCs w:val="24"/>
        </w:rPr>
        <w:t xml:space="preserve"> to assume that </w:t>
      </w:r>
      <w:r w:rsidR="00142B1B">
        <w:rPr>
          <w:sz w:val="24"/>
          <w:szCs w:val="24"/>
        </w:rPr>
        <w:t xml:space="preserve">future behavior </w:t>
      </w:r>
      <w:r w:rsidR="00FC7FB8">
        <w:rPr>
          <w:sz w:val="24"/>
          <w:szCs w:val="24"/>
        </w:rPr>
        <w:t xml:space="preserve">is likely to </w:t>
      </w:r>
      <w:r w:rsidR="00142B1B">
        <w:rPr>
          <w:sz w:val="24"/>
          <w:szCs w:val="24"/>
        </w:rPr>
        <w:t>emulate past</w:t>
      </w:r>
      <w:r w:rsidR="00610784">
        <w:rPr>
          <w:sz w:val="24"/>
          <w:szCs w:val="24"/>
        </w:rPr>
        <w:t xml:space="preserve"> </w:t>
      </w:r>
      <w:r w:rsidR="009179B6">
        <w:rPr>
          <w:sz w:val="24"/>
          <w:szCs w:val="24"/>
        </w:rPr>
        <w:t>behavior</w:t>
      </w:r>
      <w:r w:rsidR="00142B1B">
        <w:rPr>
          <w:sz w:val="24"/>
          <w:szCs w:val="24"/>
        </w:rPr>
        <w:t xml:space="preserve"> in the face of new information and new market conditions.</w:t>
      </w:r>
      <w:r w:rsidR="003E308F">
        <w:rPr>
          <w:sz w:val="24"/>
          <w:szCs w:val="24"/>
        </w:rPr>
        <w:t xml:space="preserve">  </w:t>
      </w:r>
      <w:r w:rsidR="00142B1B">
        <w:rPr>
          <w:sz w:val="24"/>
          <w:szCs w:val="24"/>
        </w:rPr>
        <w:t>No one entity operates in the absence of external influences</w:t>
      </w:r>
      <w:r w:rsidR="005B4DF8">
        <w:rPr>
          <w:sz w:val="24"/>
          <w:szCs w:val="24"/>
        </w:rPr>
        <w:t xml:space="preserve">, </w:t>
      </w:r>
      <w:r w:rsidR="00623442">
        <w:rPr>
          <w:sz w:val="24"/>
          <w:szCs w:val="24"/>
        </w:rPr>
        <w:t>whether</w:t>
      </w:r>
      <w:r w:rsidR="005B4DF8">
        <w:rPr>
          <w:sz w:val="24"/>
          <w:szCs w:val="24"/>
        </w:rPr>
        <w:t xml:space="preserve"> macroeconomic, industry</w:t>
      </w:r>
      <w:r w:rsidR="00362FE8">
        <w:rPr>
          <w:sz w:val="24"/>
          <w:szCs w:val="24"/>
        </w:rPr>
        <w:t xml:space="preserve"> </w:t>
      </w:r>
      <w:r w:rsidR="005B4DF8">
        <w:rPr>
          <w:sz w:val="24"/>
          <w:szCs w:val="24"/>
        </w:rPr>
        <w:t>specific</w:t>
      </w:r>
      <w:r w:rsidR="00142B1B">
        <w:rPr>
          <w:sz w:val="24"/>
          <w:szCs w:val="24"/>
        </w:rPr>
        <w:t>,</w:t>
      </w:r>
      <w:r w:rsidR="00D939C0">
        <w:rPr>
          <w:sz w:val="24"/>
          <w:szCs w:val="24"/>
        </w:rPr>
        <w:t xml:space="preserve"> </w:t>
      </w:r>
      <w:r w:rsidR="005B4DF8">
        <w:rPr>
          <w:sz w:val="24"/>
          <w:szCs w:val="24"/>
        </w:rPr>
        <w:t>behavioral</w:t>
      </w:r>
      <w:r w:rsidR="00D939C0">
        <w:rPr>
          <w:sz w:val="24"/>
          <w:szCs w:val="24"/>
        </w:rPr>
        <w:t>, or otherwise</w:t>
      </w:r>
      <w:r w:rsidR="005B4DF8">
        <w:rPr>
          <w:sz w:val="24"/>
          <w:szCs w:val="24"/>
        </w:rPr>
        <w:t>.</w:t>
      </w:r>
    </w:p>
    <w:p w14:paraId="705EC1D0" w14:textId="63726969" w:rsidR="007D2AB0" w:rsidRPr="003D2B66" w:rsidRDefault="003D2B66" w:rsidP="00A46E3C">
      <w:pPr>
        <w:spacing w:after="120" w:line="480" w:lineRule="auto"/>
        <w:ind w:left="720" w:firstLine="720"/>
        <w:jc w:val="both"/>
        <w:rPr>
          <w:sz w:val="24"/>
          <w:szCs w:val="24"/>
        </w:rPr>
      </w:pPr>
      <w:r w:rsidRPr="003D2B66">
        <w:rPr>
          <w:sz w:val="24"/>
          <w:szCs w:val="24"/>
        </w:rPr>
        <w:t xml:space="preserve">Third, empirical academic research by authorities such as Dr. Myron Gordon, the originator of the Gordon dividend growth model described earlier, has shown that consensus forecasts from professional security analysts do a better job of predicting the valuation of common stocks than </w:t>
      </w:r>
      <w:r w:rsidR="003F2304">
        <w:rPr>
          <w:sz w:val="24"/>
          <w:szCs w:val="24"/>
        </w:rPr>
        <w:t xml:space="preserve">do </w:t>
      </w:r>
      <w:r w:rsidR="00610784" w:rsidRPr="003D2B66">
        <w:rPr>
          <w:sz w:val="24"/>
          <w:szCs w:val="24"/>
        </w:rPr>
        <w:t xml:space="preserve">forecasts </w:t>
      </w:r>
      <w:r w:rsidR="003F2304" w:rsidRPr="003D2B66">
        <w:rPr>
          <w:sz w:val="24"/>
          <w:szCs w:val="24"/>
        </w:rPr>
        <w:t xml:space="preserve">derived </w:t>
      </w:r>
      <w:r w:rsidRPr="003D2B66">
        <w:rPr>
          <w:sz w:val="24"/>
          <w:szCs w:val="24"/>
        </w:rPr>
        <w:t>mechanically from historical data.</w:t>
      </w:r>
    </w:p>
    <w:p w14:paraId="4951EB9D" w14:textId="560A647F" w:rsidR="00BE4400" w:rsidRPr="0088510E" w:rsidRDefault="005573FF" w:rsidP="002457D8">
      <w:pPr>
        <w:pStyle w:val="question"/>
      </w:pPr>
      <w:r>
        <w:t>Q.</w:t>
      </w:r>
      <w:r>
        <w:tab/>
      </w:r>
      <w:r w:rsidR="00BE4400" w:rsidRPr="0088510E">
        <w:t>What are the results of your DCF analyses?</w:t>
      </w:r>
    </w:p>
    <w:p w14:paraId="741C9C4A" w14:textId="19FBAF4F" w:rsidR="00894F64" w:rsidRPr="002464E8" w:rsidRDefault="00756C46" w:rsidP="003468DE">
      <w:pPr>
        <w:pStyle w:val="answer"/>
        <w:numPr>
          <w:ilvl w:val="0"/>
          <w:numId w:val="15"/>
        </w:numPr>
        <w:tabs>
          <w:tab w:val="clear" w:pos="360"/>
          <w:tab w:val="num" w:pos="-3420"/>
          <w:tab w:val="left" w:pos="720"/>
        </w:tabs>
        <w:spacing w:after="120"/>
        <w:ind w:left="720" w:right="0" w:hanging="720"/>
      </w:pPr>
      <w:r>
        <w:t>Results and supporting calculation</w:t>
      </w:r>
      <w:r w:rsidR="00FF1AB6">
        <w:t>s</w:t>
      </w:r>
      <w:r>
        <w:t xml:space="preserve"> from the</w:t>
      </w:r>
      <w:r w:rsidR="00BE4400">
        <w:t xml:space="preserve"> single-stage and multistage DCF </w:t>
      </w:r>
      <w:r>
        <w:t>analyses are</w:t>
      </w:r>
      <w:r w:rsidR="00BE4400">
        <w:t xml:space="preserve"> included in Attachment</w:t>
      </w:r>
      <w:r w:rsidR="00A23CCC">
        <w:t>s</w:t>
      </w:r>
      <w:r w:rsidR="00BE4400">
        <w:t xml:space="preserve"> </w:t>
      </w:r>
      <w:r w:rsidR="00601B07">
        <w:t>JO</w:t>
      </w:r>
      <w:r w:rsidR="00BE4400">
        <w:t xml:space="preserve">-5 and </w:t>
      </w:r>
      <w:r w:rsidR="00601B07">
        <w:t>JO</w:t>
      </w:r>
      <w:r w:rsidR="00BE4400">
        <w:t xml:space="preserve">-6, respectively.  </w:t>
      </w:r>
      <w:r w:rsidR="009B637C">
        <w:t xml:space="preserve">The </w:t>
      </w:r>
      <w:r w:rsidR="00BE4400">
        <w:t>average</w:t>
      </w:r>
      <w:r w:rsidR="00BE4400" w:rsidRPr="0088510E">
        <w:t xml:space="preserve"> of </w:t>
      </w:r>
      <w:r w:rsidR="00BE4400">
        <w:t>the</w:t>
      </w:r>
      <w:r w:rsidR="009B637C">
        <w:t xml:space="preserve"> comparable compan</w:t>
      </w:r>
      <w:r w:rsidR="008A1B8E">
        <w:t>ies</w:t>
      </w:r>
      <w:r w:rsidR="009B637C">
        <w:t>’</w:t>
      </w:r>
      <w:r w:rsidR="00BE4400">
        <w:t xml:space="preserve"> </w:t>
      </w:r>
      <w:r w:rsidR="009B637C">
        <w:t>estimated cost of equity using the single-stage DCF</w:t>
      </w:r>
      <w:r w:rsidR="00BE4400" w:rsidRPr="0088510E">
        <w:t xml:space="preserve"> </w:t>
      </w:r>
      <w:r w:rsidR="00BE4400">
        <w:t>yields a cost of equity</w:t>
      </w:r>
      <w:r w:rsidR="00C5235C">
        <w:t xml:space="preserve"> estimate</w:t>
      </w:r>
      <w:r w:rsidR="00BE4400">
        <w:t xml:space="preserve"> of </w:t>
      </w:r>
      <w:r w:rsidR="006C578E">
        <w:t>8.</w:t>
      </w:r>
      <w:r w:rsidR="00601B07">
        <w:t>38</w:t>
      </w:r>
      <w:r w:rsidR="00BE4400" w:rsidRPr="002304DD">
        <w:t>%</w:t>
      </w:r>
      <w:r w:rsidR="00BE4400">
        <w:t xml:space="preserve">.  </w:t>
      </w:r>
      <w:r w:rsidR="008A1B8E">
        <w:t xml:space="preserve">The </w:t>
      </w:r>
      <w:r w:rsidR="009B637C">
        <w:t>average of the comparable compan</w:t>
      </w:r>
      <w:r w:rsidR="008A1B8E">
        <w:t>ies’</w:t>
      </w:r>
      <w:r w:rsidR="009B637C">
        <w:t xml:space="preserve"> </w:t>
      </w:r>
      <w:r w:rsidR="00B514AA">
        <w:t xml:space="preserve">estimated cost of equity </w:t>
      </w:r>
      <w:r w:rsidR="008A1B8E">
        <w:t xml:space="preserve">using the </w:t>
      </w:r>
      <w:r w:rsidR="00BE4400">
        <w:t>multistage DCF yields a cost</w:t>
      </w:r>
      <w:r w:rsidR="00C5235C">
        <w:t xml:space="preserve"> </w:t>
      </w:r>
      <w:r w:rsidR="00BE4400">
        <w:t>of</w:t>
      </w:r>
      <w:r w:rsidR="00C5235C">
        <w:t xml:space="preserve"> </w:t>
      </w:r>
      <w:r w:rsidR="00BE4400">
        <w:t xml:space="preserve">equity estimate of </w:t>
      </w:r>
      <w:r w:rsidR="00412F9A">
        <w:t>8.</w:t>
      </w:r>
      <w:r w:rsidR="00601B07">
        <w:t>31</w:t>
      </w:r>
      <w:r w:rsidR="00BE4400" w:rsidRPr="002304DD">
        <w:t>%</w:t>
      </w:r>
      <w:r w:rsidR="00BE4400">
        <w:t>.</w:t>
      </w:r>
    </w:p>
    <w:p w14:paraId="62762FCB" w14:textId="092ED74F" w:rsidR="00894F64" w:rsidRPr="00D9384D" w:rsidRDefault="00894F64" w:rsidP="00D9384D">
      <w:pPr>
        <w:pStyle w:val="Heading2"/>
        <w:numPr>
          <w:ilvl w:val="0"/>
          <w:numId w:val="19"/>
        </w:numPr>
      </w:pPr>
      <w:bookmarkStart w:id="18" w:name="_Toc10117671"/>
      <w:r w:rsidRPr="00D9384D">
        <w:t>RISK PREMIUM ESTIMATES OF THE COST OF EQUITY</w:t>
      </w:r>
      <w:bookmarkEnd w:id="18"/>
    </w:p>
    <w:p w14:paraId="49075B45" w14:textId="19D391C5" w:rsidR="002464E8" w:rsidRPr="004F79E5" w:rsidRDefault="007C67A5" w:rsidP="002457D8">
      <w:pPr>
        <w:pStyle w:val="question"/>
      </w:pPr>
      <w:r>
        <w:t>Q.</w:t>
      </w:r>
      <w:r>
        <w:tab/>
      </w:r>
      <w:r w:rsidR="002464E8" w:rsidRPr="004F79E5">
        <w:t xml:space="preserve">Please describe the general methodology of </w:t>
      </w:r>
      <w:r w:rsidR="00E62241">
        <w:t xml:space="preserve">your risk </w:t>
      </w:r>
      <w:r w:rsidR="002464E8">
        <w:t>premium</w:t>
      </w:r>
      <w:r w:rsidR="002464E8" w:rsidRPr="004F79E5">
        <w:t xml:space="preserve"> analys</w:t>
      </w:r>
      <w:r w:rsidR="002464E8">
        <w:t>i</w:t>
      </w:r>
      <w:r w:rsidR="002464E8" w:rsidRPr="004F79E5">
        <w:t>s.</w:t>
      </w:r>
    </w:p>
    <w:p w14:paraId="3A4549F2" w14:textId="7E49F2D6" w:rsidR="002464E8" w:rsidRPr="004F79E5" w:rsidRDefault="002464E8" w:rsidP="003468DE">
      <w:pPr>
        <w:pStyle w:val="answer"/>
        <w:numPr>
          <w:ilvl w:val="0"/>
          <w:numId w:val="15"/>
        </w:numPr>
        <w:tabs>
          <w:tab w:val="clear" w:pos="360"/>
          <w:tab w:val="num" w:pos="-3420"/>
          <w:tab w:val="left" w:pos="720"/>
        </w:tabs>
        <w:spacing w:after="120"/>
        <w:ind w:left="720" w:right="0" w:hanging="720"/>
      </w:pPr>
      <w:r>
        <w:t>Because</w:t>
      </w:r>
      <w:r w:rsidRPr="004F79E5">
        <w:t xml:space="preserve"> the cost of equity is not dire</w:t>
      </w:r>
      <w:r>
        <w:t>ctly observable, estimates for it</w:t>
      </w:r>
      <w:r w:rsidRPr="004F79E5">
        <w:t xml:space="preserve"> may be de</w:t>
      </w:r>
      <w:r>
        <w:t xml:space="preserve">rived by examining bond yields, </w:t>
      </w:r>
      <w:r w:rsidRPr="004F79E5">
        <w:t>which are readily observable</w:t>
      </w:r>
      <w:r>
        <w:t>,</w:t>
      </w:r>
      <w:r w:rsidRPr="004F79E5">
        <w:t xml:space="preserve"> and adding a premium to compensate for the additional risk assumed to exist in equity investments</w:t>
      </w:r>
      <w:r>
        <w:t xml:space="preserve">.  </w:t>
      </w:r>
      <w:r w:rsidRPr="004F79E5">
        <w:t xml:space="preserve">Equity investments have traditionally been viewed as being riskier than debt investments </w:t>
      </w:r>
      <w:r w:rsidRPr="002B5A56">
        <w:t>because</w:t>
      </w:r>
      <w:r w:rsidRPr="004F79E5">
        <w:t xml:space="preserve"> stockholder payments are not contractually defined and because debtholders </w:t>
      </w:r>
      <w:r>
        <w:t xml:space="preserve">generally </w:t>
      </w:r>
      <w:r w:rsidRPr="004F79E5">
        <w:t xml:space="preserve">have a </w:t>
      </w:r>
      <w:r>
        <w:t>senior</w:t>
      </w:r>
      <w:r w:rsidRPr="004F79E5">
        <w:t xml:space="preserve"> claim on the assets of a firm if </w:t>
      </w:r>
      <w:r>
        <w:t xml:space="preserve">it declares bankruptcy.  </w:t>
      </w:r>
      <w:r w:rsidRPr="004F79E5">
        <w:t xml:space="preserve">The yields on long-term bonds are typically used in </w:t>
      </w:r>
      <w:r>
        <w:t>risk</w:t>
      </w:r>
      <w:r w:rsidR="0095773C">
        <w:t xml:space="preserve"> </w:t>
      </w:r>
      <w:r>
        <w:t>premium</w:t>
      </w:r>
      <w:r w:rsidRPr="004F79E5">
        <w:t xml:space="preserve"> analyses </w:t>
      </w:r>
      <w:r>
        <w:t>because</w:t>
      </w:r>
      <w:r w:rsidRPr="004F79E5">
        <w:t xml:space="preserve"> equity investments are usually thought of as long-term investments</w:t>
      </w:r>
      <w:r>
        <w:t>.  Because</w:t>
      </w:r>
      <w:r w:rsidRPr="004F79E5">
        <w:t xml:space="preserve"> the holding periods for these investments are assumed to be similar, the inflation expectations built into long-term bond yields should also be applicable to equity investments.</w:t>
      </w:r>
    </w:p>
    <w:p w14:paraId="5E5A7E91" w14:textId="32F40256" w:rsidR="00F20575" w:rsidRPr="004F79E5" w:rsidRDefault="005573FF" w:rsidP="002457D8">
      <w:pPr>
        <w:pStyle w:val="question"/>
      </w:pPr>
      <w:r>
        <w:t>Q.</w:t>
      </w:r>
      <w:r>
        <w:tab/>
      </w:r>
      <w:r w:rsidR="00F20575" w:rsidRPr="004F79E5">
        <w:t xml:space="preserve">Are equity </w:t>
      </w:r>
      <w:r w:rsidR="00F20575">
        <w:t>risk premium</w:t>
      </w:r>
      <w:r w:rsidR="00F20575" w:rsidRPr="004F79E5">
        <w:t>s stable over time, or do they vary with capital market conditions?</w:t>
      </w:r>
    </w:p>
    <w:p w14:paraId="50B656C5" w14:textId="256C6CC0" w:rsidR="00F20575" w:rsidRDefault="00F20575" w:rsidP="00F20575">
      <w:pPr>
        <w:pStyle w:val="answer"/>
        <w:numPr>
          <w:ilvl w:val="0"/>
          <w:numId w:val="15"/>
        </w:numPr>
        <w:tabs>
          <w:tab w:val="clear" w:pos="360"/>
          <w:tab w:val="num" w:pos="-3420"/>
          <w:tab w:val="left" w:pos="720"/>
        </w:tabs>
        <w:spacing w:after="0"/>
        <w:ind w:left="720" w:right="0" w:hanging="720"/>
      </w:pPr>
      <w:r w:rsidRPr="004F79E5">
        <w:t xml:space="preserve">Several empirical studies have demonstrated that equity </w:t>
      </w:r>
      <w:r>
        <w:t>risk premium</w:t>
      </w:r>
      <w:r w:rsidRPr="004F79E5">
        <w:t>s vary over time as changes occur in capital markets</w:t>
      </w:r>
      <w:r>
        <w:t xml:space="preserve">.  </w:t>
      </w:r>
      <w:r w:rsidRPr="004F79E5">
        <w:t xml:space="preserve">In addition, it is reasonable to expect the equity </w:t>
      </w:r>
      <w:r>
        <w:t>risk premium</w:t>
      </w:r>
      <w:r w:rsidRPr="004F79E5">
        <w:t xml:space="preserve"> for a particular company to change as the specific risks facing a company change over time</w:t>
      </w:r>
      <w:r>
        <w:t xml:space="preserve">.  </w:t>
      </w:r>
      <w:r w:rsidR="00EB517B">
        <w:t xml:space="preserve">Regarding </w:t>
      </w:r>
      <w:r w:rsidRPr="004F79E5">
        <w:t xml:space="preserve">the influence of capital market conditions, several studies have identified an inverse relationship between interest rates and the size of equity </w:t>
      </w:r>
      <w:r>
        <w:t>risk premium</w:t>
      </w:r>
      <w:r w:rsidRPr="004F79E5">
        <w:t>s</w:t>
      </w:r>
      <w:r>
        <w:t xml:space="preserve">.  </w:t>
      </w:r>
      <w:r w:rsidRPr="004F79E5">
        <w:t>One explanation for this phenomenon is the differential impact of inflation on debt and equity investments</w:t>
      </w:r>
      <w:r>
        <w:t>.  Because</w:t>
      </w:r>
      <w:r w:rsidRPr="004F79E5">
        <w:t xml:space="preserve"> bond</w:t>
      </w:r>
      <w:r>
        <w:t>-</w:t>
      </w:r>
      <w:r w:rsidRPr="004F79E5">
        <w:t xml:space="preserve">interest payments are fixed upon issuance, there is no mechanism for adjusting returns </w:t>
      </w:r>
      <w:r w:rsidR="00EB517B">
        <w:t xml:space="preserve">to account </w:t>
      </w:r>
      <w:r w:rsidRPr="004F79E5">
        <w:t>for changes in inflation and purchasing power</w:t>
      </w:r>
      <w:r>
        <w:t xml:space="preserve">.  </w:t>
      </w:r>
      <w:r w:rsidRPr="004F79E5">
        <w:t>Therefore, when inflationary fears rise, the perceived risk associated with bond investments increases, and interest rates rise</w:t>
      </w:r>
      <w:r>
        <w:t xml:space="preserve">.  </w:t>
      </w:r>
      <w:r w:rsidRPr="004F79E5">
        <w:t xml:space="preserve">On the other hand, equity investors may be shielded somewhat from inflation by </w:t>
      </w:r>
      <w:r w:rsidR="00263C7F">
        <w:t xml:space="preserve">a </w:t>
      </w:r>
      <w:r w:rsidRPr="004F79E5">
        <w:t>company</w:t>
      </w:r>
      <w:r>
        <w:t>’</w:t>
      </w:r>
      <w:r w:rsidRPr="004F79E5">
        <w:t>s ability to raise dividend payouts during inflationary periods</w:t>
      </w:r>
      <w:r>
        <w:t>.  Because</w:t>
      </w:r>
      <w:r w:rsidRPr="004F79E5">
        <w:t xml:space="preserve"> stocks may be viewed as a better hedge against inflation, the cost of equity will tend to rise less than the cost of debt</w:t>
      </w:r>
      <w:r>
        <w:t xml:space="preserve">.  </w:t>
      </w:r>
      <w:r w:rsidRPr="004F79E5">
        <w:t xml:space="preserve">As a consequence, the equity </w:t>
      </w:r>
      <w:r>
        <w:t>risk premium</w:t>
      </w:r>
      <w:r w:rsidRPr="004F79E5">
        <w:t xml:space="preserve"> can be expected to fall as interest rates rise.</w:t>
      </w:r>
    </w:p>
    <w:p w14:paraId="7E2B9216" w14:textId="5183C2C0" w:rsidR="00F20575" w:rsidRDefault="00F20575" w:rsidP="003468DE">
      <w:pPr>
        <w:pStyle w:val="answer"/>
        <w:tabs>
          <w:tab w:val="clear" w:pos="-3420"/>
          <w:tab w:val="left" w:pos="720"/>
        </w:tabs>
        <w:spacing w:after="120"/>
        <w:ind w:right="0" w:firstLine="720"/>
      </w:pPr>
      <w:r w:rsidRPr="004F79E5">
        <w:t xml:space="preserve">In addition to the influence of inflation, changes in investor risk preferences can significantly affect equity </w:t>
      </w:r>
      <w:r>
        <w:t>risk premium</w:t>
      </w:r>
      <w:r w:rsidRPr="004F79E5">
        <w:t>s</w:t>
      </w:r>
      <w:r>
        <w:t xml:space="preserve">.  </w:t>
      </w:r>
      <w:r w:rsidRPr="004F79E5">
        <w:t xml:space="preserve">For example, </w:t>
      </w:r>
      <w:r w:rsidR="00A834EC">
        <w:t xml:space="preserve">anticipation of </w:t>
      </w:r>
      <w:r w:rsidRPr="004F79E5">
        <w:t>a major economic disruption or</w:t>
      </w:r>
      <w:r w:rsidR="00A834EC">
        <w:t xml:space="preserve"> </w:t>
      </w:r>
      <w:r w:rsidRPr="004F79E5">
        <w:t>recession w</w:t>
      </w:r>
      <w:r w:rsidR="00A834EC">
        <w:t xml:space="preserve">ould likely trigger </w:t>
      </w:r>
      <w:r w:rsidRPr="004F79E5">
        <w:t>a move to higher</w:t>
      </w:r>
      <w:r w:rsidR="00EB517B">
        <w:t>-</w:t>
      </w:r>
      <w:r w:rsidRPr="004F79E5">
        <w:t>quality investments</w:t>
      </w:r>
      <w:r w:rsidR="00A834EC">
        <w:t>.</w:t>
      </w:r>
      <w:r>
        <w:t xml:space="preserve">  </w:t>
      </w:r>
      <w:r w:rsidRPr="004F79E5">
        <w:t>This would probabl</w:t>
      </w:r>
      <w:r w:rsidR="00A834EC">
        <w:t>y</w:t>
      </w:r>
      <w:r w:rsidRPr="004F79E5">
        <w:t xml:space="preserve"> </w:t>
      </w:r>
      <w:r w:rsidR="00A834EC">
        <w:t>d</w:t>
      </w:r>
      <w:r w:rsidRPr="004F79E5">
        <w:t>ecreas</w:t>
      </w:r>
      <w:r w:rsidR="00A834EC">
        <w:t>e</w:t>
      </w:r>
      <w:r w:rsidRPr="004F79E5">
        <w:t xml:space="preserve"> the returns</w:t>
      </w:r>
      <w:r>
        <w:t xml:space="preserve"> that investors require </w:t>
      </w:r>
      <w:r w:rsidR="002123BF">
        <w:t>for</w:t>
      </w:r>
      <w:r>
        <w:t xml:space="preserve"> investing in</w:t>
      </w:r>
      <w:r w:rsidRPr="004F79E5">
        <w:t xml:space="preserve"> U.S. Treasury bonds and high</w:t>
      </w:r>
      <w:r>
        <w:t>-</w:t>
      </w:r>
      <w:r w:rsidRPr="004F79E5">
        <w:t>grade corporate bonds</w:t>
      </w:r>
      <w:r>
        <w:t xml:space="preserve">.  </w:t>
      </w:r>
      <w:r w:rsidRPr="004F79E5">
        <w:t xml:space="preserve">If the returns on these securities were used to measure </w:t>
      </w:r>
      <w:r>
        <w:t>risk premium</w:t>
      </w:r>
      <w:r w:rsidRPr="004F79E5">
        <w:t>s, the observed equity</w:t>
      </w:r>
      <w:r>
        <w:t xml:space="preserve"> risk premium</w:t>
      </w:r>
      <w:r w:rsidRPr="004F79E5">
        <w:t>s would likely be higher</w:t>
      </w:r>
      <w:r>
        <w:t xml:space="preserve">.  </w:t>
      </w:r>
      <w:r w:rsidRPr="004F79E5">
        <w:t>Conversely, if the demand for higher</w:t>
      </w:r>
      <w:r w:rsidR="009071D5">
        <w:t>-</w:t>
      </w:r>
      <w:r w:rsidRPr="004F79E5">
        <w:t>quality investments were to fall, thereby pushing up the required returns, the observed equity</w:t>
      </w:r>
      <w:r>
        <w:t xml:space="preserve"> risk premium</w:t>
      </w:r>
      <w:r w:rsidRPr="004F79E5">
        <w:t>s would likely be lower.</w:t>
      </w:r>
    </w:p>
    <w:p w14:paraId="4EEC7B4E" w14:textId="3BE562CE" w:rsidR="00D204FA" w:rsidRDefault="00D204FA" w:rsidP="00AA7344">
      <w:pPr>
        <w:pStyle w:val="ListParagraph"/>
        <w:numPr>
          <w:ilvl w:val="1"/>
          <w:numId w:val="17"/>
        </w:numPr>
        <w:spacing w:after="120"/>
        <w:rPr>
          <w:b/>
        </w:rPr>
      </w:pPr>
      <w:r w:rsidRPr="00D204FA">
        <w:rPr>
          <w:b/>
        </w:rPr>
        <w:t>CONVENTIONAL RISK PREMIUM ESTIMATE</w:t>
      </w:r>
    </w:p>
    <w:p w14:paraId="28A08FE6" w14:textId="43E9D720" w:rsidR="0004086D" w:rsidRPr="00EB0E92" w:rsidRDefault="005573FF" w:rsidP="002457D8">
      <w:pPr>
        <w:pStyle w:val="question"/>
      </w:pPr>
      <w:r>
        <w:t>Q.</w:t>
      </w:r>
      <w:r>
        <w:tab/>
      </w:r>
      <w:r w:rsidR="0004086D" w:rsidRPr="00EB0E92">
        <w:t>Please describe the “conventional” risk</w:t>
      </w:r>
      <w:r w:rsidR="00F02FBA">
        <w:t xml:space="preserve"> </w:t>
      </w:r>
      <w:r w:rsidR="0004086D" w:rsidRPr="00EB0E92">
        <w:t xml:space="preserve">premium approach that you used in your estimate of </w:t>
      </w:r>
      <w:r w:rsidR="0095513C">
        <w:t xml:space="preserve">the </w:t>
      </w:r>
      <w:r w:rsidR="0004086D" w:rsidRPr="00EB0E92">
        <w:t>cost of equity for the Company.</w:t>
      </w:r>
    </w:p>
    <w:p w14:paraId="32BD42F9" w14:textId="4297874B" w:rsidR="0004086D" w:rsidRPr="004D71B3" w:rsidRDefault="0004086D" w:rsidP="004D71B3">
      <w:pPr>
        <w:pStyle w:val="answer"/>
        <w:numPr>
          <w:ilvl w:val="0"/>
          <w:numId w:val="15"/>
        </w:numPr>
        <w:tabs>
          <w:tab w:val="clear" w:pos="360"/>
          <w:tab w:val="num" w:pos="-3420"/>
          <w:tab w:val="left" w:pos="720"/>
        </w:tabs>
        <w:spacing w:after="120"/>
        <w:ind w:left="720" w:right="0" w:hanging="720"/>
      </w:pPr>
      <w:r w:rsidRPr="00EB0E92">
        <w:t>I refer to the risk</w:t>
      </w:r>
      <w:r w:rsidR="007530BA">
        <w:t xml:space="preserve"> </w:t>
      </w:r>
      <w:r w:rsidRPr="00EB0E92">
        <w:t xml:space="preserve">premium approach </w:t>
      </w:r>
      <w:r w:rsidR="007740A9">
        <w:t xml:space="preserve">used </w:t>
      </w:r>
      <w:r w:rsidRPr="00EB0E92">
        <w:t>in the quantitative part of my testimony as the “conventional</w:t>
      </w:r>
      <w:r>
        <w:t>” risk premium to distinguish it from the concept of risk premiums in general and to denote that it is the primary risk</w:t>
      </w:r>
      <w:r w:rsidR="007740A9">
        <w:t xml:space="preserve"> </w:t>
      </w:r>
      <w:r>
        <w:t xml:space="preserve">premium method on which Staff has relied for many years.  The conventional risk premium estimates the cost of equity for the Company by comparing the costs of equity authorized for utilities across the United States to the yields of large-company corporate bonds that are rated Baa by Moody’s.  The timeframe I have used for this purpose is </w:t>
      </w:r>
      <w:r w:rsidRPr="00402BF1">
        <w:t xml:space="preserve">1980 through </w:t>
      </w:r>
      <w:r>
        <w:t>201</w:t>
      </w:r>
      <w:r w:rsidR="00CD6F1C">
        <w:t>8</w:t>
      </w:r>
      <w:r>
        <w:t xml:space="preserve">.  </w:t>
      </w:r>
      <w:r w:rsidRPr="004D71B3">
        <w:t xml:space="preserve">I </w:t>
      </w:r>
      <w:r w:rsidR="00777631">
        <w:t xml:space="preserve">excluded pre-1980 data </w:t>
      </w:r>
      <w:r w:rsidR="00512FFB">
        <w:t xml:space="preserve">due to the </w:t>
      </w:r>
      <w:r w:rsidRPr="004D71B3">
        <w:t xml:space="preserve">sharp reduction in the money supply at that time. </w:t>
      </w:r>
    </w:p>
    <w:p w14:paraId="21BF0AD3" w14:textId="561A1ED8" w:rsidR="0004086D" w:rsidRDefault="005573FF" w:rsidP="002457D8">
      <w:pPr>
        <w:pStyle w:val="question"/>
      </w:pPr>
      <w:r>
        <w:t>Q.</w:t>
      </w:r>
      <w:r>
        <w:tab/>
      </w:r>
      <w:r w:rsidR="0004086D">
        <w:t>How did you use the relationship between authorized costs of equity and bond yields to quantify the cost of equity for the Company?</w:t>
      </w:r>
    </w:p>
    <w:p w14:paraId="390EF541" w14:textId="7EBC89EB" w:rsidR="0004086D" w:rsidRDefault="0004086D" w:rsidP="003468DE">
      <w:pPr>
        <w:pStyle w:val="answer"/>
        <w:numPr>
          <w:ilvl w:val="0"/>
          <w:numId w:val="15"/>
        </w:numPr>
        <w:tabs>
          <w:tab w:val="clear" w:pos="360"/>
          <w:tab w:val="num" w:pos="-3420"/>
          <w:tab w:val="left" w:pos="720"/>
        </w:tabs>
        <w:spacing w:after="120"/>
        <w:ind w:left="720" w:right="0" w:hanging="720"/>
      </w:pPr>
      <w:r w:rsidRPr="00E6445E">
        <w:t>I quantified th</w:t>
      </w:r>
      <w:r>
        <w:t>e</w:t>
      </w:r>
      <w:r w:rsidRPr="00E6445E">
        <w:t xml:space="preserve"> </w:t>
      </w:r>
      <w:r>
        <w:t xml:space="preserve">relationship by subtracting the bond yields from the authorized costs of equity to </w:t>
      </w:r>
      <w:r w:rsidR="0095513C">
        <w:t>calculate</w:t>
      </w:r>
      <w:r>
        <w:t xml:space="preserve"> a risk premium for the riskier equity.</w:t>
      </w:r>
    </w:p>
    <w:p w14:paraId="0DE385B9" w14:textId="4E8C23AD" w:rsidR="0004086D" w:rsidRPr="005410D4" w:rsidRDefault="005573FF" w:rsidP="002457D8">
      <w:pPr>
        <w:pStyle w:val="question"/>
      </w:pPr>
      <w:r>
        <w:t>Q.</w:t>
      </w:r>
      <w:r>
        <w:tab/>
      </w:r>
      <w:r w:rsidR="0004086D" w:rsidRPr="005410D4">
        <w:t>Did you test the data for correlation as you described earlier in the i</w:t>
      </w:r>
      <w:r w:rsidR="0004086D">
        <w:t xml:space="preserve">ntroduction to </w:t>
      </w:r>
      <w:r w:rsidR="0004086D" w:rsidRPr="000412F5">
        <w:t>Part D</w:t>
      </w:r>
      <w:r w:rsidR="0004086D" w:rsidRPr="005410D4">
        <w:t>?</w:t>
      </w:r>
    </w:p>
    <w:p w14:paraId="6C8DCC24" w14:textId="60B92F0D" w:rsidR="0004086D" w:rsidRPr="005410D4" w:rsidRDefault="0004086D" w:rsidP="003468DE">
      <w:pPr>
        <w:pStyle w:val="answer"/>
        <w:numPr>
          <w:ilvl w:val="0"/>
          <w:numId w:val="15"/>
        </w:numPr>
        <w:tabs>
          <w:tab w:val="clear" w:pos="360"/>
          <w:tab w:val="num" w:pos="-3420"/>
          <w:tab w:val="left" w:pos="720"/>
        </w:tabs>
        <w:spacing w:after="120"/>
        <w:ind w:left="720" w:right="0" w:hanging="720"/>
      </w:pPr>
      <w:r w:rsidRPr="005410D4">
        <w:t xml:space="preserve">Yes.  I performed a regression analysis to analyze the relationship between the risk premium and the bond yields in the corresponding period.  The regression analysis showed, with high confidence, that there is a trend in the relationship.  It is an inverse trend in which risk premiums increase as bond yields decrease.  On average, </w:t>
      </w:r>
      <w:r w:rsidR="005A3DBB">
        <w:t xml:space="preserve">risk premiums increased </w:t>
      </w:r>
      <w:r w:rsidR="005A3DBB" w:rsidRPr="002304DD">
        <w:t>0.4</w:t>
      </w:r>
      <w:r w:rsidR="005A3DBB">
        <w:t>392</w:t>
      </w:r>
      <w:r w:rsidR="005A3DBB" w:rsidRPr="002304DD">
        <w:t>%</w:t>
      </w:r>
      <w:r w:rsidR="005A3DBB" w:rsidRPr="005410D4">
        <w:t xml:space="preserve"> for every 1.00% that bond yields decreased </w:t>
      </w:r>
      <w:r w:rsidRPr="005410D4">
        <w:t>during the 1980</w:t>
      </w:r>
      <w:r w:rsidR="00F86D8F">
        <w:t>–</w:t>
      </w:r>
      <w:r>
        <w:t>201</w:t>
      </w:r>
      <w:r w:rsidR="009F563C">
        <w:t>8</w:t>
      </w:r>
      <w:r w:rsidRPr="005410D4">
        <w:t xml:space="preserve"> time period. </w:t>
      </w:r>
    </w:p>
    <w:p w14:paraId="16DD7B4A" w14:textId="2166D154" w:rsidR="0004086D" w:rsidRDefault="007C67A5" w:rsidP="002457D8">
      <w:pPr>
        <w:pStyle w:val="question"/>
      </w:pPr>
      <w:r>
        <w:t>Q.</w:t>
      </w:r>
      <w:r>
        <w:tab/>
      </w:r>
      <w:r w:rsidR="0004086D">
        <w:t>Did you incorporate that relationship in</w:t>
      </w:r>
      <w:r w:rsidR="00E36125">
        <w:t>to</w:t>
      </w:r>
      <w:r w:rsidR="0004086D">
        <w:t xml:space="preserve"> your risk-premium estimate?</w:t>
      </w:r>
    </w:p>
    <w:p w14:paraId="49CF8340" w14:textId="2BDF1BE8" w:rsidR="0004086D" w:rsidRDefault="0004086D" w:rsidP="003468DE">
      <w:pPr>
        <w:pStyle w:val="answer"/>
        <w:numPr>
          <w:ilvl w:val="0"/>
          <w:numId w:val="15"/>
        </w:numPr>
        <w:tabs>
          <w:tab w:val="clear" w:pos="360"/>
          <w:tab w:val="num" w:pos="-3420"/>
          <w:tab w:val="left" w:pos="720"/>
        </w:tabs>
        <w:spacing w:after="120"/>
        <w:ind w:left="720" w:right="0" w:hanging="720"/>
      </w:pPr>
      <w:r>
        <w:t xml:space="preserve">Yes.  The calculation of the adjustment to the risk premium </w:t>
      </w:r>
      <w:r w:rsidR="00E36125">
        <w:t>(as indicated by the</w:t>
      </w:r>
      <w:r>
        <w:t xml:space="preserve"> regression analysis</w:t>
      </w:r>
      <w:r w:rsidR="00E36125">
        <w:t>)</w:t>
      </w:r>
      <w:r>
        <w:t xml:space="preserve"> is shown on Page 2 of Attachment </w:t>
      </w:r>
      <w:r w:rsidR="00A24BB7">
        <w:t>JO</w:t>
      </w:r>
      <w:r>
        <w:t>-7.</w:t>
      </w:r>
    </w:p>
    <w:p w14:paraId="38EAFF06" w14:textId="4D0837F5" w:rsidR="0004086D" w:rsidRPr="004F79E5" w:rsidRDefault="007C67A5" w:rsidP="002457D8">
      <w:pPr>
        <w:pStyle w:val="question"/>
      </w:pPr>
      <w:r>
        <w:t>Q.</w:t>
      </w:r>
      <w:r>
        <w:tab/>
      </w:r>
      <w:r w:rsidR="0004086D" w:rsidRPr="004F79E5">
        <w:t xml:space="preserve">What are the results of your </w:t>
      </w:r>
      <w:r w:rsidR="0004086D">
        <w:t>risk</w:t>
      </w:r>
      <w:r w:rsidR="00876503">
        <w:t xml:space="preserve"> </w:t>
      </w:r>
      <w:r w:rsidR="0004086D">
        <w:t>premium</w:t>
      </w:r>
      <w:r w:rsidR="0004086D" w:rsidRPr="004F79E5">
        <w:t xml:space="preserve"> analysis?</w:t>
      </w:r>
    </w:p>
    <w:p w14:paraId="036A4D78" w14:textId="468E87C0" w:rsidR="00D204FA" w:rsidRDefault="0004086D" w:rsidP="003468DE">
      <w:pPr>
        <w:pStyle w:val="answer"/>
        <w:numPr>
          <w:ilvl w:val="0"/>
          <w:numId w:val="15"/>
        </w:numPr>
        <w:tabs>
          <w:tab w:val="clear" w:pos="360"/>
          <w:tab w:val="num" w:pos="-3420"/>
          <w:tab w:val="left" w:pos="720"/>
        </w:tabs>
        <w:spacing w:after="120"/>
        <w:ind w:left="720" w:right="0" w:hanging="720"/>
      </w:pPr>
      <w:r>
        <w:t xml:space="preserve">As shown on </w:t>
      </w:r>
      <w:r w:rsidR="005E6247">
        <w:t>Page 2</w:t>
      </w:r>
      <w:r w:rsidR="00F27695">
        <w:t xml:space="preserve"> </w:t>
      </w:r>
      <w:r w:rsidR="005E6247">
        <w:t xml:space="preserve">of </w:t>
      </w:r>
      <w:r>
        <w:t xml:space="preserve">Attachment </w:t>
      </w:r>
      <w:r w:rsidR="00A24BB7">
        <w:t>JO</w:t>
      </w:r>
      <w:r w:rsidRPr="004F79E5">
        <w:t>-</w:t>
      </w:r>
      <w:r>
        <w:t>7, the conventional risk</w:t>
      </w:r>
      <w:r w:rsidR="00797BA9">
        <w:t xml:space="preserve"> </w:t>
      </w:r>
      <w:r>
        <w:t xml:space="preserve">premium analysis </w:t>
      </w:r>
      <w:r w:rsidR="005E6247">
        <w:t xml:space="preserve">yields </w:t>
      </w:r>
      <w:r>
        <w:t>a</w:t>
      </w:r>
      <w:r w:rsidR="00B11BB8">
        <w:t>n estimated</w:t>
      </w:r>
      <w:r>
        <w:t xml:space="preserve"> cost of equity of </w:t>
      </w:r>
      <w:r w:rsidRPr="002304DD">
        <w:t>9.</w:t>
      </w:r>
      <w:r w:rsidR="00A24BB7">
        <w:t>79</w:t>
      </w:r>
      <w:r w:rsidRPr="002304DD">
        <w:t>%.</w:t>
      </w:r>
    </w:p>
    <w:p w14:paraId="5F436493" w14:textId="30C39426" w:rsidR="00D204FA" w:rsidRDefault="00D204FA" w:rsidP="00A96B25">
      <w:pPr>
        <w:pStyle w:val="ListParagraph"/>
        <w:numPr>
          <w:ilvl w:val="1"/>
          <w:numId w:val="17"/>
        </w:numPr>
        <w:spacing w:after="120"/>
        <w:rPr>
          <w:b/>
        </w:rPr>
      </w:pPr>
      <w:r>
        <w:rPr>
          <w:b/>
        </w:rPr>
        <w:t>CAPM</w:t>
      </w:r>
    </w:p>
    <w:p w14:paraId="395AD61D" w14:textId="70D8DCFE" w:rsidR="000E0D9B" w:rsidRPr="000C0619" w:rsidRDefault="007C67A5" w:rsidP="002457D8">
      <w:pPr>
        <w:pStyle w:val="question"/>
      </w:pPr>
      <w:r>
        <w:t>Q.</w:t>
      </w:r>
      <w:r>
        <w:tab/>
      </w:r>
      <w:r w:rsidR="000E0D9B">
        <w:t>Have you directly incorporated the results of your CAPM analysis in</w:t>
      </w:r>
      <w:r w:rsidR="00BA1D35">
        <w:t>to</w:t>
      </w:r>
      <w:r w:rsidR="000E0D9B">
        <w:t xml:space="preserve"> your estimate of the Company’s cost of equity?</w:t>
      </w:r>
    </w:p>
    <w:p w14:paraId="6CD4F0AC" w14:textId="77777777" w:rsidR="000E0D9B" w:rsidRPr="006B2950" w:rsidRDefault="000E0D9B" w:rsidP="003468DE">
      <w:pPr>
        <w:pStyle w:val="answer"/>
        <w:numPr>
          <w:ilvl w:val="0"/>
          <w:numId w:val="15"/>
        </w:numPr>
        <w:tabs>
          <w:tab w:val="clear" w:pos="360"/>
          <w:tab w:val="num" w:pos="-3420"/>
          <w:tab w:val="left" w:pos="720"/>
        </w:tabs>
        <w:spacing w:after="120"/>
        <w:ind w:left="720" w:right="0" w:hanging="720"/>
        <w:rPr>
          <w:u w:val="single"/>
        </w:rPr>
      </w:pPr>
      <w:r>
        <w:t>No.  I did not directly incorporate the results of the CAPM in my analysis because it yielded a cost of equity that is markedly lower than the other estimates I calculated.  Accordingly, I have used the CAPM analysis only as a qualitative check on the results of my other analyses.</w:t>
      </w:r>
    </w:p>
    <w:p w14:paraId="4021E408" w14:textId="3D94D55A" w:rsidR="000E0D9B" w:rsidRPr="0088510E" w:rsidRDefault="000871E2" w:rsidP="002457D8">
      <w:pPr>
        <w:pStyle w:val="question"/>
      </w:pPr>
      <w:r>
        <w:t>Q.</w:t>
      </w:r>
      <w:r>
        <w:tab/>
      </w:r>
      <w:r w:rsidR="000E0D9B" w:rsidRPr="0088510E">
        <w:t xml:space="preserve">What is the </w:t>
      </w:r>
      <w:r w:rsidR="000E0D9B">
        <w:t>CAPM</w:t>
      </w:r>
      <w:r w:rsidR="000E0D9B" w:rsidRPr="0088510E">
        <w:t>?</w:t>
      </w:r>
    </w:p>
    <w:p w14:paraId="6F35CFF5" w14:textId="6DB49761" w:rsidR="000E0D9B" w:rsidRPr="0088510E" w:rsidRDefault="000E0D9B" w:rsidP="003468DE">
      <w:pPr>
        <w:pStyle w:val="answer"/>
        <w:numPr>
          <w:ilvl w:val="0"/>
          <w:numId w:val="15"/>
        </w:numPr>
        <w:tabs>
          <w:tab w:val="clear" w:pos="360"/>
          <w:tab w:val="num" w:pos="-3420"/>
          <w:tab w:val="left" w:pos="720"/>
        </w:tabs>
        <w:spacing w:after="120"/>
        <w:ind w:left="720" w:right="0" w:hanging="720"/>
      </w:pPr>
      <w:r w:rsidRPr="0088510E">
        <w:t xml:space="preserve">The </w:t>
      </w:r>
      <w:r>
        <w:t xml:space="preserve">CAPM </w:t>
      </w:r>
      <w:r w:rsidRPr="0088510E">
        <w:t>is one of the cornerstones of financial theory</w:t>
      </w:r>
      <w:r>
        <w:t xml:space="preserve">.  </w:t>
      </w:r>
      <w:r w:rsidRPr="0088510E">
        <w:t xml:space="preserve">In its simplest sense, the model describes the relationship between the risk of an asset and its expected return, and </w:t>
      </w:r>
      <w:r>
        <w:t xml:space="preserve">it </w:t>
      </w:r>
      <w:r w:rsidRPr="0088510E">
        <w:t>assumes that investors will not hold a risky asset unless they are adequately compensated for the risk</w:t>
      </w:r>
      <w:r>
        <w:t xml:space="preserve">.  </w:t>
      </w:r>
      <w:r w:rsidR="00E8435B">
        <w:t xml:space="preserve">The </w:t>
      </w:r>
      <w:r w:rsidRPr="0088510E">
        <w:t>CAPM</w:t>
      </w:r>
      <w:r w:rsidR="00E8435B">
        <w:t xml:space="preserve"> represents the risk of an asset </w:t>
      </w:r>
      <w:r w:rsidRPr="0088510E">
        <w:t xml:space="preserve">by its </w:t>
      </w:r>
      <w:r w:rsidRPr="0088510E">
        <w:rPr>
          <w:i/>
        </w:rPr>
        <w:t>beta</w:t>
      </w:r>
      <w:r w:rsidRPr="0088510E">
        <w:t>, which is a statistical concept that measures the sensitivity of a security’s return to changes in the returns of the overall market</w:t>
      </w:r>
      <w:r>
        <w:t xml:space="preserve">.  </w:t>
      </w:r>
      <w:r w:rsidRPr="0088510E">
        <w:t>The higher the beta of an asset, the greater the risk of the asset relative to the risk of the overall market, and the greater the rate of return required by investors to hold the asset.</w:t>
      </w:r>
    </w:p>
    <w:p w14:paraId="7E77EE06" w14:textId="7C8A7A54" w:rsidR="000E0D9B" w:rsidRPr="00A443A5" w:rsidRDefault="007C67A5" w:rsidP="002457D8">
      <w:pPr>
        <w:pStyle w:val="question"/>
      </w:pPr>
      <w:r>
        <w:t>Q.</w:t>
      </w:r>
      <w:r>
        <w:tab/>
      </w:r>
      <w:r w:rsidR="000E0D9B" w:rsidRPr="00A443A5">
        <w:t>What do you infer from your CAPM analysis?</w:t>
      </w:r>
    </w:p>
    <w:p w14:paraId="59F35E7B" w14:textId="2947C630" w:rsidR="000E0D9B" w:rsidRDefault="000E0D9B" w:rsidP="0084738C">
      <w:pPr>
        <w:pStyle w:val="answer"/>
        <w:numPr>
          <w:ilvl w:val="0"/>
          <w:numId w:val="15"/>
        </w:numPr>
        <w:tabs>
          <w:tab w:val="clear" w:pos="360"/>
          <w:tab w:val="num" w:pos="-3420"/>
          <w:tab w:val="left" w:pos="720"/>
        </w:tabs>
        <w:spacing w:after="120"/>
        <w:ind w:left="720" w:right="0" w:hanging="720"/>
      </w:pPr>
      <w:r>
        <w:t xml:space="preserve">The results of my CAPM, </w:t>
      </w:r>
      <w:r w:rsidRPr="007F7F11">
        <w:t xml:space="preserve">while reflecting the current low yield on </w:t>
      </w:r>
      <w:r w:rsidR="00BA1D35">
        <w:t xml:space="preserve">U.S. </w:t>
      </w:r>
      <w:r w:rsidRPr="007F7F11">
        <w:t xml:space="preserve">Treasury </w:t>
      </w:r>
      <w:r w:rsidR="00BA1D35">
        <w:t>b</w:t>
      </w:r>
      <w:r w:rsidRPr="007F7F11">
        <w:t>onds,</w:t>
      </w:r>
      <w:r>
        <w:t xml:space="preserve"> suggest a cost of equity that is lower than </w:t>
      </w:r>
      <w:r w:rsidR="00BA1D35">
        <w:t xml:space="preserve">those </w:t>
      </w:r>
      <w:r>
        <w:t xml:space="preserve">of my two other approaches.  My CAPM analysis </w:t>
      </w:r>
      <w:r w:rsidR="005E6247">
        <w:t xml:space="preserve">further </w:t>
      </w:r>
      <w:r>
        <w:t>indicat</w:t>
      </w:r>
      <w:r w:rsidR="005E6247">
        <w:t>es</w:t>
      </w:r>
      <w:r>
        <w:t xml:space="preserve"> that a lower estimate of the cost of equity for the Company is consistent with prevailing capital market conditions. </w:t>
      </w:r>
      <w:r w:rsidR="0021372B">
        <w:t xml:space="preserve"> </w:t>
      </w:r>
      <w:r w:rsidRPr="007F7F11">
        <w:t>The model</w:t>
      </w:r>
      <w:r>
        <w:t xml:space="preserve"> accurately reflects the effects of the current</w:t>
      </w:r>
      <w:r w:rsidR="005E6247">
        <w:t xml:space="preserve">, </w:t>
      </w:r>
      <w:r>
        <w:t>low-interest-rate environment.</w:t>
      </w:r>
    </w:p>
    <w:p w14:paraId="687C69BA" w14:textId="487D1915" w:rsidR="000E0D9B" w:rsidRPr="0088510E" w:rsidRDefault="007C67A5" w:rsidP="002457D8">
      <w:pPr>
        <w:pStyle w:val="question"/>
      </w:pPr>
      <w:r>
        <w:t>Q.</w:t>
      </w:r>
      <w:r>
        <w:tab/>
      </w:r>
      <w:r w:rsidR="000E0D9B" w:rsidRPr="0088510E">
        <w:t>How is the rate of return calculated in the CAPM?</w:t>
      </w:r>
    </w:p>
    <w:p w14:paraId="07F0E4A2" w14:textId="3154DCAC" w:rsidR="000E0D9B" w:rsidRPr="0088510E" w:rsidRDefault="000E0D9B" w:rsidP="0084738C">
      <w:pPr>
        <w:pStyle w:val="answer"/>
        <w:numPr>
          <w:ilvl w:val="0"/>
          <w:numId w:val="15"/>
        </w:numPr>
        <w:tabs>
          <w:tab w:val="clear" w:pos="360"/>
          <w:tab w:val="num" w:pos="-3420"/>
          <w:tab w:val="left" w:pos="720"/>
        </w:tabs>
        <w:spacing w:after="0"/>
        <w:ind w:left="720" w:right="0" w:hanging="720"/>
      </w:pPr>
      <w:r w:rsidRPr="0088510E">
        <w:t>The rate of retu</w:t>
      </w:r>
      <w:r w:rsidR="005E6247">
        <w:t>rn is calculated in the CAPM as follows:</w:t>
      </w:r>
    </w:p>
    <w:p w14:paraId="3F7FC915" w14:textId="77777777" w:rsidR="000E0D9B" w:rsidRPr="000E0D9B" w:rsidRDefault="000E0D9B" w:rsidP="000E0D9B">
      <w:pPr>
        <w:pStyle w:val="PlainText"/>
        <w:spacing w:line="480" w:lineRule="auto"/>
        <w:ind w:left="720" w:hanging="720"/>
        <w:jc w:val="both"/>
        <w:rPr>
          <w:rFonts w:ascii="Times New Roman" w:hAnsi="Times New Roman"/>
          <w:sz w:val="24"/>
          <w:szCs w:val="24"/>
        </w:rPr>
      </w:pPr>
      <w:r>
        <w:rPr>
          <w:rFonts w:ascii="Times New Roman" w:hAnsi="Times New Roman"/>
        </w:rPr>
        <w:tab/>
      </w:r>
      <w:r>
        <w:rPr>
          <w:rFonts w:ascii="Times New Roman" w:hAnsi="Times New Roman"/>
        </w:rPr>
        <w:tab/>
      </w:r>
      <w:r w:rsidRPr="000E0D9B">
        <w:rPr>
          <w:rFonts w:ascii="Times New Roman" w:hAnsi="Times New Roman"/>
          <w:sz w:val="24"/>
          <w:szCs w:val="24"/>
        </w:rPr>
        <w:tab/>
        <w:t xml:space="preserve">k = </w:t>
      </w:r>
      <w:proofErr w:type="spellStart"/>
      <w:r w:rsidRPr="000E0D9B">
        <w:rPr>
          <w:rFonts w:ascii="Times New Roman" w:hAnsi="Times New Roman"/>
          <w:sz w:val="24"/>
          <w:szCs w:val="24"/>
        </w:rPr>
        <w:t>R</w:t>
      </w:r>
      <w:r w:rsidRPr="000E0D9B">
        <w:rPr>
          <w:rFonts w:ascii="Times New Roman" w:hAnsi="Times New Roman"/>
          <w:sz w:val="24"/>
          <w:szCs w:val="24"/>
          <w:vertAlign w:val="subscript"/>
        </w:rPr>
        <w:t>f</w:t>
      </w:r>
      <w:proofErr w:type="spellEnd"/>
      <w:r w:rsidRPr="000E0D9B">
        <w:rPr>
          <w:rFonts w:ascii="Times New Roman" w:hAnsi="Times New Roman"/>
          <w:sz w:val="24"/>
          <w:szCs w:val="24"/>
        </w:rPr>
        <w:t xml:space="preserve"> + </w:t>
      </w:r>
      <w:proofErr w:type="gramStart"/>
      <w:r w:rsidRPr="000E0D9B">
        <w:rPr>
          <w:rFonts w:ascii="Times New Roman" w:hAnsi="Times New Roman"/>
          <w:sz w:val="24"/>
          <w:szCs w:val="24"/>
        </w:rPr>
        <w:t>ß(</w:t>
      </w:r>
      <w:proofErr w:type="gramEnd"/>
      <w:r w:rsidRPr="000E0D9B">
        <w:rPr>
          <w:rFonts w:ascii="Times New Roman" w:hAnsi="Times New Roman"/>
          <w:sz w:val="24"/>
          <w:szCs w:val="24"/>
        </w:rPr>
        <w:t>R</w:t>
      </w:r>
      <w:r w:rsidRPr="000E0D9B">
        <w:rPr>
          <w:rFonts w:ascii="Times New Roman" w:hAnsi="Times New Roman"/>
          <w:sz w:val="24"/>
          <w:szCs w:val="24"/>
          <w:vertAlign w:val="subscript"/>
        </w:rPr>
        <w:t>m</w:t>
      </w:r>
      <w:r w:rsidRPr="000E0D9B">
        <w:rPr>
          <w:rFonts w:ascii="Times New Roman" w:hAnsi="Times New Roman"/>
          <w:sz w:val="24"/>
          <w:szCs w:val="24"/>
        </w:rPr>
        <w:t xml:space="preserve"> – </w:t>
      </w:r>
      <w:proofErr w:type="spellStart"/>
      <w:r w:rsidRPr="000E0D9B">
        <w:rPr>
          <w:rFonts w:ascii="Times New Roman" w:hAnsi="Times New Roman"/>
          <w:sz w:val="24"/>
          <w:szCs w:val="24"/>
        </w:rPr>
        <w:t>R</w:t>
      </w:r>
      <w:r w:rsidRPr="000E0D9B">
        <w:rPr>
          <w:rFonts w:ascii="Times New Roman" w:hAnsi="Times New Roman"/>
          <w:sz w:val="24"/>
          <w:szCs w:val="24"/>
          <w:vertAlign w:val="subscript"/>
        </w:rPr>
        <w:t>f</w:t>
      </w:r>
      <w:proofErr w:type="spellEnd"/>
      <w:r w:rsidRPr="000E0D9B">
        <w:rPr>
          <w:rFonts w:ascii="Times New Roman" w:hAnsi="Times New Roman"/>
          <w:sz w:val="24"/>
          <w:szCs w:val="24"/>
        </w:rPr>
        <w:t>)</w:t>
      </w:r>
    </w:p>
    <w:p w14:paraId="2452073E" w14:textId="77777777" w:rsidR="000E0D9B" w:rsidRPr="000E0D9B" w:rsidRDefault="000E0D9B" w:rsidP="000E0D9B">
      <w:pPr>
        <w:pStyle w:val="PlainText"/>
        <w:spacing w:line="480" w:lineRule="auto"/>
        <w:ind w:left="720" w:hanging="720"/>
        <w:jc w:val="both"/>
        <w:rPr>
          <w:rFonts w:ascii="Times New Roman" w:hAnsi="Times New Roman"/>
          <w:sz w:val="24"/>
          <w:szCs w:val="24"/>
        </w:rPr>
      </w:pPr>
      <w:r w:rsidRPr="000E0D9B">
        <w:rPr>
          <w:rFonts w:ascii="Times New Roman" w:hAnsi="Times New Roman"/>
          <w:sz w:val="24"/>
          <w:szCs w:val="24"/>
        </w:rPr>
        <w:tab/>
      </w:r>
      <w:r w:rsidRPr="000E0D9B">
        <w:rPr>
          <w:rFonts w:ascii="Times New Roman" w:hAnsi="Times New Roman"/>
          <w:sz w:val="24"/>
          <w:szCs w:val="24"/>
        </w:rPr>
        <w:tab/>
      </w:r>
      <w:proofErr w:type="gramStart"/>
      <w:r w:rsidRPr="000E0D9B">
        <w:rPr>
          <w:rFonts w:ascii="Times New Roman" w:hAnsi="Times New Roman"/>
          <w:sz w:val="24"/>
          <w:szCs w:val="24"/>
        </w:rPr>
        <w:t>where</w:t>
      </w:r>
      <w:proofErr w:type="gramEnd"/>
      <w:r w:rsidRPr="000E0D9B">
        <w:rPr>
          <w:rFonts w:ascii="Times New Roman" w:hAnsi="Times New Roman"/>
          <w:sz w:val="24"/>
          <w:szCs w:val="24"/>
        </w:rPr>
        <w:t>:</w:t>
      </w:r>
      <w:r w:rsidRPr="000E0D9B">
        <w:rPr>
          <w:rFonts w:ascii="Times New Roman" w:hAnsi="Times New Roman"/>
          <w:sz w:val="24"/>
          <w:szCs w:val="24"/>
        </w:rPr>
        <w:tab/>
        <w:t>k = required rate of return;</w:t>
      </w:r>
    </w:p>
    <w:p w14:paraId="79EC9C7A" w14:textId="77777777" w:rsidR="000E0D9B" w:rsidRPr="000E0D9B" w:rsidRDefault="000E0D9B" w:rsidP="000E0D9B">
      <w:pPr>
        <w:pStyle w:val="PlainText"/>
        <w:spacing w:line="480" w:lineRule="auto"/>
        <w:ind w:left="720" w:hanging="720"/>
        <w:jc w:val="both"/>
        <w:rPr>
          <w:rFonts w:ascii="Times New Roman" w:hAnsi="Times New Roman"/>
          <w:b/>
          <w:sz w:val="24"/>
          <w:szCs w:val="24"/>
        </w:rPr>
      </w:pPr>
      <w:r w:rsidRPr="000E0D9B">
        <w:rPr>
          <w:rFonts w:ascii="Times New Roman" w:hAnsi="Times New Roman"/>
          <w:sz w:val="24"/>
          <w:szCs w:val="24"/>
        </w:rPr>
        <w:tab/>
      </w:r>
      <w:r w:rsidRPr="000E0D9B">
        <w:rPr>
          <w:rFonts w:ascii="Times New Roman" w:hAnsi="Times New Roman"/>
          <w:sz w:val="24"/>
          <w:szCs w:val="24"/>
        </w:rPr>
        <w:tab/>
      </w:r>
      <w:r w:rsidRPr="000E0D9B">
        <w:rPr>
          <w:rFonts w:ascii="Times New Roman" w:hAnsi="Times New Roman"/>
          <w:sz w:val="24"/>
          <w:szCs w:val="24"/>
        </w:rPr>
        <w:tab/>
        <w:t>ß = beta of the asset;</w:t>
      </w:r>
    </w:p>
    <w:p w14:paraId="053BF50D" w14:textId="77777777" w:rsidR="000E0D9B" w:rsidRPr="000E0D9B" w:rsidRDefault="000E0D9B" w:rsidP="000E0D9B">
      <w:pPr>
        <w:pStyle w:val="PlainText"/>
        <w:spacing w:line="480" w:lineRule="auto"/>
        <w:ind w:left="720" w:hanging="720"/>
        <w:jc w:val="both"/>
        <w:rPr>
          <w:rFonts w:ascii="Times New Roman" w:hAnsi="Times New Roman"/>
          <w:sz w:val="24"/>
          <w:szCs w:val="24"/>
        </w:rPr>
      </w:pPr>
      <w:r w:rsidRPr="000E0D9B">
        <w:rPr>
          <w:rFonts w:ascii="Times New Roman" w:hAnsi="Times New Roman"/>
          <w:sz w:val="24"/>
          <w:szCs w:val="24"/>
        </w:rPr>
        <w:tab/>
      </w:r>
      <w:r w:rsidRPr="000E0D9B">
        <w:rPr>
          <w:rFonts w:ascii="Times New Roman" w:hAnsi="Times New Roman"/>
          <w:sz w:val="24"/>
          <w:szCs w:val="24"/>
        </w:rPr>
        <w:tab/>
      </w:r>
      <w:r w:rsidRPr="000E0D9B">
        <w:rPr>
          <w:rFonts w:ascii="Times New Roman" w:hAnsi="Times New Roman"/>
          <w:sz w:val="24"/>
          <w:szCs w:val="24"/>
        </w:rPr>
        <w:tab/>
      </w:r>
      <w:proofErr w:type="spellStart"/>
      <w:proofErr w:type="gramStart"/>
      <w:r w:rsidRPr="000E0D9B">
        <w:rPr>
          <w:rFonts w:ascii="Times New Roman" w:hAnsi="Times New Roman"/>
          <w:sz w:val="24"/>
          <w:szCs w:val="24"/>
        </w:rPr>
        <w:t>R</w:t>
      </w:r>
      <w:r w:rsidRPr="000E0D9B">
        <w:rPr>
          <w:rFonts w:ascii="Times New Roman" w:hAnsi="Times New Roman"/>
          <w:sz w:val="24"/>
          <w:szCs w:val="24"/>
          <w:vertAlign w:val="subscript"/>
        </w:rPr>
        <w:t>f</w:t>
      </w:r>
      <w:proofErr w:type="spellEnd"/>
      <w:proofErr w:type="gramEnd"/>
      <w:r w:rsidRPr="000E0D9B">
        <w:rPr>
          <w:rFonts w:ascii="Times New Roman" w:hAnsi="Times New Roman"/>
          <w:sz w:val="24"/>
          <w:szCs w:val="24"/>
        </w:rPr>
        <w:t xml:space="preserve"> = risk-free rate; and</w:t>
      </w:r>
    </w:p>
    <w:p w14:paraId="6834A998" w14:textId="77777777" w:rsidR="000E0D9B" w:rsidRPr="000E0D9B" w:rsidRDefault="000E0D9B" w:rsidP="000E0D9B">
      <w:pPr>
        <w:pStyle w:val="PlainText"/>
        <w:spacing w:line="480" w:lineRule="auto"/>
        <w:ind w:left="720" w:hanging="720"/>
        <w:jc w:val="both"/>
        <w:rPr>
          <w:rFonts w:ascii="Times New Roman" w:hAnsi="Times New Roman"/>
          <w:sz w:val="24"/>
          <w:szCs w:val="24"/>
        </w:rPr>
      </w:pPr>
      <w:r w:rsidRPr="000E0D9B">
        <w:rPr>
          <w:rFonts w:ascii="Times New Roman" w:hAnsi="Times New Roman"/>
          <w:sz w:val="24"/>
          <w:szCs w:val="24"/>
        </w:rPr>
        <w:tab/>
      </w:r>
      <w:r w:rsidRPr="000E0D9B">
        <w:rPr>
          <w:rFonts w:ascii="Times New Roman" w:hAnsi="Times New Roman"/>
          <w:sz w:val="24"/>
          <w:szCs w:val="24"/>
        </w:rPr>
        <w:tab/>
      </w:r>
      <w:r w:rsidRPr="000E0D9B">
        <w:rPr>
          <w:rFonts w:ascii="Times New Roman" w:hAnsi="Times New Roman"/>
          <w:sz w:val="24"/>
          <w:szCs w:val="24"/>
        </w:rPr>
        <w:tab/>
        <w:t>R</w:t>
      </w:r>
      <w:r w:rsidRPr="000E0D9B">
        <w:rPr>
          <w:rFonts w:ascii="Times New Roman" w:hAnsi="Times New Roman"/>
          <w:sz w:val="24"/>
          <w:szCs w:val="24"/>
          <w:vertAlign w:val="subscript"/>
        </w:rPr>
        <w:t>m</w:t>
      </w:r>
      <w:r w:rsidRPr="000E0D9B">
        <w:rPr>
          <w:rFonts w:ascii="Times New Roman" w:hAnsi="Times New Roman"/>
          <w:sz w:val="24"/>
          <w:szCs w:val="24"/>
        </w:rPr>
        <w:t xml:space="preserve"> = market return.</w:t>
      </w:r>
    </w:p>
    <w:p w14:paraId="475B1D10" w14:textId="33EEAB33" w:rsidR="000E0D9B" w:rsidRPr="000E0D9B" w:rsidRDefault="000E0D9B" w:rsidP="0084738C">
      <w:pPr>
        <w:pStyle w:val="PlainText"/>
        <w:spacing w:after="120" w:line="480" w:lineRule="auto"/>
        <w:ind w:left="720" w:hanging="720"/>
        <w:jc w:val="both"/>
        <w:rPr>
          <w:rFonts w:ascii="Times New Roman" w:hAnsi="Times New Roman"/>
          <w:sz w:val="24"/>
          <w:szCs w:val="24"/>
        </w:rPr>
      </w:pPr>
      <w:r>
        <w:rPr>
          <w:rFonts w:ascii="Times New Roman" w:hAnsi="Times New Roman"/>
        </w:rPr>
        <w:tab/>
      </w:r>
      <w:r w:rsidRPr="000E0D9B">
        <w:rPr>
          <w:rFonts w:ascii="Times New Roman" w:hAnsi="Times New Roman"/>
          <w:sz w:val="24"/>
          <w:szCs w:val="24"/>
        </w:rPr>
        <w:t>The value of R</w:t>
      </w:r>
      <w:r w:rsidRPr="000E0D9B">
        <w:rPr>
          <w:rFonts w:ascii="Times New Roman" w:hAnsi="Times New Roman"/>
          <w:sz w:val="24"/>
          <w:szCs w:val="24"/>
          <w:vertAlign w:val="subscript"/>
        </w:rPr>
        <w:t>m</w:t>
      </w:r>
      <w:r w:rsidRPr="000E0D9B">
        <w:rPr>
          <w:rFonts w:ascii="Times New Roman" w:hAnsi="Times New Roman"/>
          <w:sz w:val="24"/>
          <w:szCs w:val="24"/>
        </w:rPr>
        <w:t xml:space="preserve"> – </w:t>
      </w:r>
      <w:proofErr w:type="spellStart"/>
      <w:proofErr w:type="gramStart"/>
      <w:r w:rsidRPr="000E0D9B">
        <w:rPr>
          <w:rFonts w:ascii="Times New Roman" w:hAnsi="Times New Roman"/>
          <w:sz w:val="24"/>
          <w:szCs w:val="24"/>
        </w:rPr>
        <w:t>R</w:t>
      </w:r>
      <w:r w:rsidRPr="000E0D9B">
        <w:rPr>
          <w:rFonts w:ascii="Times New Roman" w:hAnsi="Times New Roman"/>
          <w:sz w:val="24"/>
          <w:szCs w:val="24"/>
          <w:vertAlign w:val="subscript"/>
        </w:rPr>
        <w:t>f</w:t>
      </w:r>
      <w:proofErr w:type="spellEnd"/>
      <w:proofErr w:type="gramEnd"/>
      <w:r w:rsidRPr="000E0D9B">
        <w:rPr>
          <w:rFonts w:ascii="Times New Roman" w:hAnsi="Times New Roman"/>
          <w:sz w:val="24"/>
          <w:szCs w:val="24"/>
        </w:rPr>
        <w:t xml:space="preserve"> in the equation above represents the additional risk of the market over the risk-free rate, </w:t>
      </w:r>
      <w:r w:rsidR="00AB4A4E">
        <w:rPr>
          <w:rFonts w:ascii="Times New Roman" w:hAnsi="Times New Roman"/>
          <w:sz w:val="24"/>
          <w:szCs w:val="24"/>
        </w:rPr>
        <w:t>i.e.,</w:t>
      </w:r>
      <w:r w:rsidRPr="000E0D9B">
        <w:rPr>
          <w:rFonts w:ascii="Times New Roman" w:hAnsi="Times New Roman"/>
          <w:sz w:val="24"/>
          <w:szCs w:val="24"/>
        </w:rPr>
        <w:t xml:space="preserve"> the market risk premium of equity returns over a risk-free investment in a U.S. Treasury security.  The CAPM formula calculates the relative amount of risk premium for a security by multiplying the market risk premium by the security’s beta.  The beta-adjusted risk premium is then added to the risk-free rate to provide the total rate of return for that security.</w:t>
      </w:r>
    </w:p>
    <w:p w14:paraId="0D76B76C" w14:textId="42EB01BF" w:rsidR="000E0D9B" w:rsidRPr="0088510E" w:rsidRDefault="007C67A5" w:rsidP="002457D8">
      <w:pPr>
        <w:pStyle w:val="question"/>
      </w:pPr>
      <w:r>
        <w:t>Q.</w:t>
      </w:r>
      <w:r>
        <w:tab/>
      </w:r>
      <w:r w:rsidR="000E0D9B" w:rsidRPr="0088510E">
        <w:t>Please describe the inputs you used in your CAP</w:t>
      </w:r>
      <w:r w:rsidR="000E0D9B">
        <w:t>M analysi</w:t>
      </w:r>
      <w:r w:rsidR="000E0D9B" w:rsidRPr="0088510E">
        <w:t xml:space="preserve">s to estimate the cost of equity for </w:t>
      </w:r>
      <w:r w:rsidR="000E0D9B">
        <w:t>the Company.</w:t>
      </w:r>
    </w:p>
    <w:p w14:paraId="1E675E16" w14:textId="7CD10B1C" w:rsidR="000E0D9B" w:rsidRPr="000E0D9B" w:rsidRDefault="000E0D9B" w:rsidP="000E0D9B">
      <w:pPr>
        <w:pStyle w:val="answer"/>
        <w:numPr>
          <w:ilvl w:val="0"/>
          <w:numId w:val="15"/>
        </w:numPr>
        <w:tabs>
          <w:tab w:val="clear" w:pos="360"/>
          <w:tab w:val="num" w:pos="-3420"/>
          <w:tab w:val="left" w:pos="720"/>
        </w:tabs>
        <w:spacing w:after="0"/>
        <w:ind w:left="720" w:right="0" w:hanging="720"/>
      </w:pPr>
      <w:r w:rsidRPr="000E0D9B">
        <w:t>For the risk-free rate in the CAPM equation, I used a rate of 2.</w:t>
      </w:r>
      <w:r w:rsidR="001027EC">
        <w:t>81</w:t>
      </w:r>
      <w:r w:rsidRPr="000E0D9B">
        <w:t xml:space="preserve">%. </w:t>
      </w:r>
      <w:r w:rsidR="00B663F4">
        <w:t xml:space="preserve"> </w:t>
      </w:r>
      <w:r w:rsidRPr="000E0D9B">
        <w:t xml:space="preserve">This rate was the average yield of the 20-year Treasury bond for the period </w:t>
      </w:r>
      <w:r w:rsidR="00386C95">
        <w:t xml:space="preserve">from </w:t>
      </w:r>
      <w:r w:rsidR="001327B1">
        <w:t>January 25</w:t>
      </w:r>
      <w:r w:rsidRPr="000E0D9B">
        <w:t>, 201</w:t>
      </w:r>
      <w:r w:rsidR="001327B1">
        <w:t>9</w:t>
      </w:r>
      <w:r w:rsidRPr="000E0D9B">
        <w:t xml:space="preserve">, through </w:t>
      </w:r>
      <w:r w:rsidR="001327B1">
        <w:t>April 26</w:t>
      </w:r>
      <w:r w:rsidRPr="000E0D9B">
        <w:t>, 201</w:t>
      </w:r>
      <w:r w:rsidR="001327B1">
        <w:t>9</w:t>
      </w:r>
      <w:r w:rsidRPr="000E0D9B">
        <w:t>.</w:t>
      </w:r>
      <w:r w:rsidR="00F834D0">
        <w:rPr>
          <w:rStyle w:val="FootnoteReference"/>
        </w:rPr>
        <w:footnoteReference w:id="19"/>
      </w:r>
      <w:r w:rsidRPr="000E0D9B">
        <w:t xml:space="preserve">  The Treasury bond</w:t>
      </w:r>
      <w:r w:rsidR="00BC77F9">
        <w:t>’s</w:t>
      </w:r>
      <w:r w:rsidRPr="000E0D9B">
        <w:t xml:space="preserve"> </w:t>
      </w:r>
      <w:r w:rsidR="00BC77F9" w:rsidRPr="000E0D9B">
        <w:t xml:space="preserve">20-year maturity </w:t>
      </w:r>
      <w:r w:rsidRPr="000E0D9B">
        <w:t xml:space="preserve">is </w:t>
      </w:r>
      <w:r w:rsidR="005E6247">
        <w:t xml:space="preserve">more </w:t>
      </w:r>
      <w:r w:rsidRPr="000E0D9B">
        <w:t xml:space="preserve">appropriate to use for this purpose than a shorter-maturity yield because a longer investment time horizon is more comparable to the typical investment time frame for equity securities, especially </w:t>
      </w:r>
      <w:r w:rsidR="00BC77F9">
        <w:t xml:space="preserve">for </w:t>
      </w:r>
      <w:r w:rsidRPr="000E0D9B">
        <w:t>utility stocks.  Another reason that a longer-term rate is a more appropriate input to the CAPM is that longer-term rates are less volatile and less likely to be influenced by random, short-term phenomena</w:t>
      </w:r>
      <w:r w:rsidR="005E6247">
        <w:t>.</w:t>
      </w:r>
    </w:p>
    <w:p w14:paraId="7E914024" w14:textId="630BDE24" w:rsidR="000E0D9B" w:rsidRPr="000E0D9B" w:rsidRDefault="000E0D9B" w:rsidP="000E0D9B">
      <w:pPr>
        <w:pStyle w:val="PlainText"/>
        <w:spacing w:line="480" w:lineRule="auto"/>
        <w:ind w:left="720" w:firstLine="720"/>
        <w:jc w:val="both"/>
        <w:rPr>
          <w:rFonts w:ascii="Times New Roman" w:hAnsi="Times New Roman"/>
          <w:sz w:val="24"/>
          <w:szCs w:val="24"/>
        </w:rPr>
      </w:pPr>
      <w:r w:rsidRPr="000E0D9B">
        <w:rPr>
          <w:rFonts w:ascii="Times New Roman" w:hAnsi="Times New Roman"/>
          <w:sz w:val="24"/>
          <w:szCs w:val="24"/>
        </w:rPr>
        <w:t>For the beta inputs to the model, I relied on the betas published by Value Line</w:t>
      </w:r>
      <w:r w:rsidR="00B25CFA" w:rsidRPr="00B25CFA">
        <w:rPr>
          <w:rFonts w:ascii="Times New Roman" w:hAnsi="Times New Roman"/>
          <w:sz w:val="24"/>
          <w:szCs w:val="24"/>
        </w:rPr>
        <w:t xml:space="preserve">’s </w:t>
      </w:r>
      <w:r w:rsidR="00B25CFA" w:rsidRPr="00B25CFA">
        <w:rPr>
          <w:rFonts w:ascii="Times New Roman" w:hAnsi="Times New Roman"/>
          <w:i/>
          <w:sz w:val="24"/>
          <w:szCs w:val="24"/>
        </w:rPr>
        <w:t>Ratings and Reports</w:t>
      </w:r>
      <w:r w:rsidRPr="000E0D9B">
        <w:rPr>
          <w:rFonts w:ascii="Times New Roman" w:hAnsi="Times New Roman"/>
          <w:sz w:val="24"/>
          <w:szCs w:val="24"/>
        </w:rPr>
        <w:t xml:space="preserve">. </w:t>
      </w:r>
      <w:r w:rsidR="0021372B">
        <w:rPr>
          <w:rFonts w:ascii="Times New Roman" w:hAnsi="Times New Roman"/>
          <w:sz w:val="24"/>
          <w:szCs w:val="24"/>
        </w:rPr>
        <w:t xml:space="preserve"> </w:t>
      </w:r>
      <w:r w:rsidRPr="000E0D9B">
        <w:rPr>
          <w:rFonts w:ascii="Times New Roman" w:hAnsi="Times New Roman"/>
          <w:sz w:val="24"/>
          <w:szCs w:val="24"/>
        </w:rPr>
        <w:t xml:space="preserve">In the CAPM, the relevant risk in the pricing of a security is </w:t>
      </w:r>
      <w:r w:rsidRPr="000E0D9B">
        <w:rPr>
          <w:rFonts w:ascii="Times New Roman" w:hAnsi="Times New Roman"/>
          <w:i/>
          <w:sz w:val="24"/>
          <w:szCs w:val="24"/>
        </w:rPr>
        <w:t>market</w:t>
      </w:r>
      <w:r w:rsidRPr="000E0D9B">
        <w:rPr>
          <w:rFonts w:ascii="Times New Roman" w:hAnsi="Times New Roman"/>
          <w:sz w:val="24"/>
          <w:szCs w:val="24"/>
        </w:rPr>
        <w:t xml:space="preserve"> risk, and the risk of the overall market is, by definition, equal to 1.</w:t>
      </w:r>
      <w:r w:rsidR="0021372B">
        <w:rPr>
          <w:rFonts w:ascii="Times New Roman" w:hAnsi="Times New Roman"/>
          <w:sz w:val="24"/>
          <w:szCs w:val="24"/>
        </w:rPr>
        <w:t xml:space="preserve"> </w:t>
      </w:r>
      <w:r w:rsidRPr="000E0D9B">
        <w:rPr>
          <w:rFonts w:ascii="Times New Roman" w:hAnsi="Times New Roman"/>
          <w:sz w:val="24"/>
          <w:szCs w:val="24"/>
        </w:rPr>
        <w:t xml:space="preserve"> Because the risk—and hence stock-price volatility—of electric utilities is typically lower than that of the overall market, the betas for these companies are ordinarily </w:t>
      </w:r>
      <w:r w:rsidR="009C6D42">
        <w:rPr>
          <w:rFonts w:ascii="Times New Roman" w:hAnsi="Times New Roman"/>
          <w:sz w:val="24"/>
          <w:szCs w:val="24"/>
        </w:rPr>
        <w:t xml:space="preserve">less </w:t>
      </w:r>
      <w:r w:rsidRPr="000E0D9B">
        <w:rPr>
          <w:rFonts w:ascii="Times New Roman" w:hAnsi="Times New Roman"/>
          <w:sz w:val="24"/>
          <w:szCs w:val="24"/>
        </w:rPr>
        <w:t>than 1.  These lower beta</w:t>
      </w:r>
      <w:r w:rsidR="001D481C">
        <w:rPr>
          <w:rFonts w:ascii="Times New Roman" w:hAnsi="Times New Roman"/>
          <w:sz w:val="24"/>
          <w:szCs w:val="24"/>
        </w:rPr>
        <w:t>s</w:t>
      </w:r>
      <w:r w:rsidRPr="000E0D9B">
        <w:rPr>
          <w:rFonts w:ascii="Times New Roman" w:hAnsi="Times New Roman"/>
          <w:sz w:val="24"/>
          <w:szCs w:val="24"/>
        </w:rPr>
        <w:t xml:space="preserve"> result in lower rates of return as calculated in the CAPM.  The beta values for the companies in my comparable gr</w:t>
      </w:r>
      <w:r w:rsidR="00A86CCB">
        <w:rPr>
          <w:rFonts w:ascii="Times New Roman" w:hAnsi="Times New Roman"/>
          <w:sz w:val="24"/>
          <w:szCs w:val="24"/>
        </w:rPr>
        <w:t xml:space="preserve">oup </w:t>
      </w:r>
      <w:r w:rsidR="00B5176C">
        <w:rPr>
          <w:rFonts w:ascii="Times New Roman" w:hAnsi="Times New Roman"/>
          <w:sz w:val="24"/>
          <w:szCs w:val="24"/>
        </w:rPr>
        <w:t>are included in</w:t>
      </w:r>
      <w:r w:rsidR="00A86CCB">
        <w:rPr>
          <w:rFonts w:ascii="Times New Roman" w:hAnsi="Times New Roman"/>
          <w:sz w:val="24"/>
          <w:szCs w:val="24"/>
        </w:rPr>
        <w:t xml:space="preserve"> Attachment </w:t>
      </w:r>
      <w:r w:rsidR="001327B1">
        <w:rPr>
          <w:rFonts w:ascii="Times New Roman" w:hAnsi="Times New Roman"/>
          <w:sz w:val="24"/>
          <w:szCs w:val="24"/>
        </w:rPr>
        <w:t>JO</w:t>
      </w:r>
      <w:r w:rsidRPr="000E0D9B">
        <w:rPr>
          <w:rFonts w:ascii="Times New Roman" w:hAnsi="Times New Roman"/>
          <w:sz w:val="24"/>
          <w:szCs w:val="24"/>
        </w:rPr>
        <w:t>-8.</w:t>
      </w:r>
    </w:p>
    <w:p w14:paraId="77ACA396" w14:textId="436B6ECA" w:rsidR="00FF7CA4" w:rsidRDefault="000E0D9B" w:rsidP="00FF7CA4">
      <w:pPr>
        <w:pStyle w:val="PlainText"/>
        <w:spacing w:after="120" w:line="480" w:lineRule="auto"/>
        <w:ind w:left="720" w:firstLine="720"/>
        <w:jc w:val="both"/>
        <w:rPr>
          <w:rFonts w:ascii="Times New Roman" w:hAnsi="Times New Roman"/>
          <w:sz w:val="24"/>
          <w:szCs w:val="24"/>
        </w:rPr>
      </w:pPr>
      <w:r w:rsidRPr="000E0D9B">
        <w:rPr>
          <w:rFonts w:ascii="Times New Roman" w:hAnsi="Times New Roman"/>
          <w:sz w:val="24"/>
          <w:szCs w:val="24"/>
        </w:rPr>
        <w:t>Finally, for the market risk premium, I u</w:t>
      </w:r>
      <w:r w:rsidR="001D468B">
        <w:rPr>
          <w:rFonts w:ascii="Times New Roman" w:hAnsi="Times New Roman"/>
          <w:sz w:val="24"/>
          <w:szCs w:val="24"/>
        </w:rPr>
        <w:t xml:space="preserve">sed a rate of </w:t>
      </w:r>
      <w:r w:rsidR="001B3734">
        <w:rPr>
          <w:rFonts w:ascii="Times New Roman" w:hAnsi="Times New Roman"/>
          <w:sz w:val="24"/>
          <w:szCs w:val="24"/>
        </w:rPr>
        <w:t>5.98</w:t>
      </w:r>
      <w:r w:rsidR="001D468B">
        <w:rPr>
          <w:rFonts w:ascii="Times New Roman" w:hAnsi="Times New Roman"/>
          <w:sz w:val="24"/>
          <w:szCs w:val="24"/>
        </w:rPr>
        <w:t>%</w:t>
      </w:r>
      <w:r w:rsidR="00DF4FD8">
        <w:rPr>
          <w:rFonts w:ascii="Times New Roman" w:hAnsi="Times New Roman"/>
          <w:sz w:val="24"/>
          <w:szCs w:val="24"/>
        </w:rPr>
        <w:t xml:space="preserve">, which is the difference </w:t>
      </w:r>
      <w:r w:rsidR="001D468B">
        <w:rPr>
          <w:rFonts w:ascii="Times New Roman" w:hAnsi="Times New Roman"/>
          <w:sz w:val="24"/>
          <w:szCs w:val="24"/>
        </w:rPr>
        <w:t xml:space="preserve">between </w:t>
      </w:r>
      <w:r w:rsidRPr="000E0D9B">
        <w:rPr>
          <w:rFonts w:ascii="Times New Roman" w:hAnsi="Times New Roman"/>
          <w:sz w:val="24"/>
          <w:szCs w:val="24"/>
        </w:rPr>
        <w:t xml:space="preserve">the </w:t>
      </w:r>
      <w:r w:rsidR="001D468B">
        <w:rPr>
          <w:rFonts w:ascii="Times New Roman" w:hAnsi="Times New Roman"/>
          <w:sz w:val="24"/>
          <w:szCs w:val="24"/>
        </w:rPr>
        <w:t>arithmetic</w:t>
      </w:r>
      <w:r w:rsidRPr="000E0D9B">
        <w:rPr>
          <w:rFonts w:ascii="Times New Roman" w:hAnsi="Times New Roman"/>
          <w:sz w:val="24"/>
          <w:szCs w:val="24"/>
        </w:rPr>
        <w:t xml:space="preserve"> mean return </w:t>
      </w:r>
      <w:r w:rsidR="001D468B">
        <w:rPr>
          <w:rFonts w:ascii="Times New Roman" w:hAnsi="Times New Roman"/>
          <w:sz w:val="24"/>
          <w:szCs w:val="24"/>
        </w:rPr>
        <w:t xml:space="preserve">for </w:t>
      </w:r>
      <w:r w:rsidR="007A79D0" w:rsidRPr="00606F5B">
        <w:rPr>
          <w:rFonts w:ascii="Times New Roman" w:hAnsi="Times New Roman"/>
          <w:i/>
          <w:sz w:val="24"/>
          <w:szCs w:val="24"/>
        </w:rPr>
        <w:t>large company s</w:t>
      </w:r>
      <w:r w:rsidRPr="00606F5B">
        <w:rPr>
          <w:rFonts w:ascii="Times New Roman" w:hAnsi="Times New Roman"/>
          <w:i/>
          <w:sz w:val="24"/>
          <w:szCs w:val="24"/>
        </w:rPr>
        <w:t>tocks</w:t>
      </w:r>
      <w:r w:rsidRPr="000E0D9B">
        <w:rPr>
          <w:rFonts w:ascii="Times New Roman" w:hAnsi="Times New Roman"/>
          <w:sz w:val="24"/>
          <w:szCs w:val="24"/>
        </w:rPr>
        <w:t xml:space="preserve"> and </w:t>
      </w:r>
      <w:r w:rsidR="00606F5B">
        <w:rPr>
          <w:rFonts w:ascii="Times New Roman" w:hAnsi="Times New Roman"/>
          <w:sz w:val="24"/>
          <w:szCs w:val="24"/>
        </w:rPr>
        <w:t xml:space="preserve">the arithmetic mean return for </w:t>
      </w:r>
      <w:r w:rsidRPr="00606F5B">
        <w:rPr>
          <w:rFonts w:ascii="Times New Roman" w:hAnsi="Times New Roman"/>
          <w:i/>
          <w:sz w:val="24"/>
          <w:szCs w:val="24"/>
        </w:rPr>
        <w:t>long-term government bonds</w:t>
      </w:r>
      <w:r w:rsidRPr="000E0D9B">
        <w:rPr>
          <w:rFonts w:ascii="Times New Roman" w:hAnsi="Times New Roman"/>
          <w:sz w:val="24"/>
          <w:szCs w:val="24"/>
        </w:rPr>
        <w:t xml:space="preserve"> as calculated by </w:t>
      </w:r>
      <w:bookmarkStart w:id="19" w:name="OLE_LINK11"/>
      <w:r w:rsidRPr="000E0D9B">
        <w:rPr>
          <w:rFonts w:ascii="Times New Roman" w:hAnsi="Times New Roman"/>
          <w:sz w:val="24"/>
          <w:szCs w:val="24"/>
        </w:rPr>
        <w:t>Duff and Phelps</w:t>
      </w:r>
      <w:bookmarkEnd w:id="19"/>
      <w:r w:rsidRPr="000E0D9B">
        <w:rPr>
          <w:rFonts w:ascii="Times New Roman" w:hAnsi="Times New Roman"/>
          <w:sz w:val="24"/>
          <w:szCs w:val="24"/>
        </w:rPr>
        <w:t>.</w:t>
      </w:r>
      <w:r w:rsidR="00606F5B" w:rsidRPr="00A270D3">
        <w:rPr>
          <w:rStyle w:val="FootnoteReference"/>
          <w:rFonts w:ascii="Times New Roman" w:hAnsi="Times New Roman"/>
          <w:sz w:val="24"/>
          <w:szCs w:val="24"/>
        </w:rPr>
        <w:footnoteReference w:id="20"/>
      </w:r>
      <w:r w:rsidR="0062553C">
        <w:rPr>
          <w:rFonts w:ascii="Times New Roman" w:hAnsi="Times New Roman"/>
          <w:sz w:val="24"/>
          <w:szCs w:val="24"/>
        </w:rPr>
        <w:t xml:space="preserve"> </w:t>
      </w:r>
      <w:r w:rsidR="00606F5B">
        <w:rPr>
          <w:rFonts w:ascii="Times New Roman" w:hAnsi="Times New Roman"/>
          <w:sz w:val="24"/>
          <w:szCs w:val="24"/>
        </w:rPr>
        <w:t xml:space="preserve"> </w:t>
      </w:r>
      <w:r w:rsidR="00606F5B" w:rsidRPr="000E0D9B">
        <w:rPr>
          <w:rFonts w:ascii="Times New Roman" w:hAnsi="Times New Roman"/>
          <w:sz w:val="24"/>
          <w:szCs w:val="24"/>
        </w:rPr>
        <w:t>Duff and Phelps</w:t>
      </w:r>
      <w:r w:rsidR="00606F5B">
        <w:rPr>
          <w:rFonts w:ascii="Times New Roman" w:hAnsi="Times New Roman"/>
          <w:sz w:val="24"/>
          <w:szCs w:val="24"/>
        </w:rPr>
        <w:t>’</w:t>
      </w:r>
      <w:r w:rsidR="00362FE8">
        <w:rPr>
          <w:rFonts w:ascii="Times New Roman" w:hAnsi="Times New Roman"/>
          <w:sz w:val="24"/>
          <w:szCs w:val="24"/>
        </w:rPr>
        <w:t>s</w:t>
      </w:r>
      <w:r w:rsidR="00606F5B">
        <w:rPr>
          <w:rFonts w:ascii="Times New Roman" w:hAnsi="Times New Roman"/>
          <w:sz w:val="24"/>
          <w:szCs w:val="24"/>
        </w:rPr>
        <w:t xml:space="preserve"> data relies on the 93-year period from </w:t>
      </w:r>
      <w:r w:rsidRPr="000E0D9B">
        <w:rPr>
          <w:rFonts w:ascii="Times New Roman" w:hAnsi="Times New Roman"/>
          <w:sz w:val="24"/>
          <w:szCs w:val="24"/>
        </w:rPr>
        <w:t xml:space="preserve">1926 </w:t>
      </w:r>
      <w:r w:rsidR="00614BCF">
        <w:rPr>
          <w:rFonts w:ascii="Times New Roman" w:hAnsi="Times New Roman"/>
          <w:sz w:val="24"/>
          <w:szCs w:val="24"/>
        </w:rPr>
        <w:t>through 201</w:t>
      </w:r>
      <w:r w:rsidR="001B3734">
        <w:rPr>
          <w:rFonts w:ascii="Times New Roman" w:hAnsi="Times New Roman"/>
          <w:sz w:val="24"/>
          <w:szCs w:val="24"/>
        </w:rPr>
        <w:t>8</w:t>
      </w:r>
      <w:r w:rsidR="00606F5B">
        <w:rPr>
          <w:rFonts w:ascii="Times New Roman" w:hAnsi="Times New Roman"/>
          <w:sz w:val="24"/>
          <w:szCs w:val="24"/>
        </w:rPr>
        <w:t>.</w:t>
      </w:r>
      <w:r w:rsidRPr="000E0D9B">
        <w:rPr>
          <w:rFonts w:ascii="Times New Roman" w:hAnsi="Times New Roman"/>
          <w:sz w:val="24"/>
          <w:szCs w:val="24"/>
        </w:rPr>
        <w:t xml:space="preserve"> A 9</w:t>
      </w:r>
      <w:r w:rsidR="001B3734">
        <w:rPr>
          <w:rFonts w:ascii="Times New Roman" w:hAnsi="Times New Roman"/>
          <w:sz w:val="24"/>
          <w:szCs w:val="24"/>
        </w:rPr>
        <w:t>3</w:t>
      </w:r>
      <w:r w:rsidRPr="000E0D9B">
        <w:rPr>
          <w:rFonts w:ascii="Times New Roman" w:hAnsi="Times New Roman"/>
          <w:sz w:val="24"/>
          <w:szCs w:val="24"/>
        </w:rPr>
        <w:t>-year period is preferable to a shorter period because short-term phenomena can distort the relatio</w:t>
      </w:r>
      <w:r w:rsidR="00FF7CA4">
        <w:rPr>
          <w:rFonts w:ascii="Times New Roman" w:hAnsi="Times New Roman"/>
          <w:sz w:val="24"/>
          <w:szCs w:val="24"/>
        </w:rPr>
        <w:t>nship between stocks and bonds.</w:t>
      </w:r>
    </w:p>
    <w:p w14:paraId="09754354" w14:textId="7993C9C4" w:rsidR="00FF7CA4" w:rsidRDefault="00327A68" w:rsidP="00FF7CA4">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sidR="000E0D9B" w:rsidRPr="00FF7CA4">
        <w:rPr>
          <w:rFonts w:ascii="Times New Roman" w:hAnsi="Times New Roman"/>
          <w:b/>
          <w:sz w:val="24"/>
          <w:szCs w:val="24"/>
        </w:rPr>
        <w:t xml:space="preserve">What </w:t>
      </w:r>
      <w:r w:rsidR="008963D9">
        <w:rPr>
          <w:rFonts w:ascii="Times New Roman" w:hAnsi="Times New Roman"/>
          <w:b/>
          <w:sz w:val="24"/>
          <w:szCs w:val="24"/>
        </w:rPr>
        <w:t xml:space="preserve">cost of equity does your </w:t>
      </w:r>
      <w:r w:rsidR="000E0D9B" w:rsidRPr="00FF7CA4">
        <w:rPr>
          <w:rFonts w:ascii="Times New Roman" w:hAnsi="Times New Roman"/>
          <w:b/>
          <w:sz w:val="24"/>
          <w:szCs w:val="24"/>
        </w:rPr>
        <w:t>CAPM analys</w:t>
      </w:r>
      <w:r w:rsidR="008963D9">
        <w:rPr>
          <w:rFonts w:ascii="Times New Roman" w:hAnsi="Times New Roman"/>
          <w:b/>
          <w:sz w:val="24"/>
          <w:szCs w:val="24"/>
        </w:rPr>
        <w:t>is yield</w:t>
      </w:r>
      <w:r w:rsidR="000E0D9B" w:rsidRPr="00FF7CA4">
        <w:rPr>
          <w:rFonts w:ascii="Times New Roman" w:hAnsi="Times New Roman"/>
          <w:b/>
          <w:sz w:val="24"/>
          <w:szCs w:val="24"/>
        </w:rPr>
        <w:t>?</w:t>
      </w:r>
    </w:p>
    <w:p w14:paraId="597A34D7" w14:textId="0DAD3581" w:rsidR="0052265E" w:rsidRPr="00FF7CA4" w:rsidRDefault="00945B88" w:rsidP="00FF7CA4">
      <w:pPr>
        <w:pStyle w:val="PlainText"/>
        <w:tabs>
          <w:tab w:val="left" w:pos="720"/>
          <w:tab w:val="left" w:pos="1080"/>
        </w:tabs>
        <w:spacing w:after="120" w:line="480" w:lineRule="auto"/>
        <w:ind w:left="720" w:hanging="720"/>
        <w:jc w:val="both"/>
        <w:rPr>
          <w:rFonts w:ascii="Times New Roman" w:hAnsi="Times New Roman"/>
          <w:sz w:val="24"/>
          <w:szCs w:val="24"/>
        </w:rPr>
      </w:pPr>
      <w:r w:rsidRPr="00FF7CA4">
        <w:rPr>
          <w:rFonts w:ascii="Times New Roman" w:hAnsi="Times New Roman"/>
          <w:sz w:val="24"/>
          <w:szCs w:val="24"/>
        </w:rPr>
        <w:t>A.</w:t>
      </w:r>
      <w:r w:rsidRPr="00FF7CA4">
        <w:rPr>
          <w:rFonts w:ascii="Times New Roman" w:hAnsi="Times New Roman"/>
          <w:sz w:val="24"/>
          <w:szCs w:val="24"/>
        </w:rPr>
        <w:tab/>
      </w:r>
      <w:r w:rsidR="009901C2">
        <w:rPr>
          <w:rFonts w:ascii="Times New Roman" w:hAnsi="Times New Roman"/>
          <w:sz w:val="24"/>
          <w:szCs w:val="24"/>
        </w:rPr>
        <w:t>My</w:t>
      </w:r>
      <w:r w:rsidRPr="00FF7CA4">
        <w:rPr>
          <w:rFonts w:ascii="Times New Roman" w:hAnsi="Times New Roman"/>
          <w:sz w:val="24"/>
          <w:szCs w:val="24"/>
        </w:rPr>
        <w:t xml:space="preserve"> CAPM </w:t>
      </w:r>
      <w:r w:rsidR="008963D9">
        <w:rPr>
          <w:rFonts w:ascii="Times New Roman" w:hAnsi="Times New Roman"/>
          <w:sz w:val="24"/>
          <w:szCs w:val="24"/>
        </w:rPr>
        <w:t xml:space="preserve">analysis </w:t>
      </w:r>
      <w:r w:rsidRPr="00FF7CA4">
        <w:rPr>
          <w:rFonts w:ascii="Times New Roman" w:hAnsi="Times New Roman"/>
          <w:sz w:val="24"/>
          <w:szCs w:val="24"/>
        </w:rPr>
        <w:t xml:space="preserve">yields a cost of equity for </w:t>
      </w:r>
      <w:r w:rsidR="008963D9">
        <w:rPr>
          <w:rFonts w:ascii="Times New Roman" w:hAnsi="Times New Roman"/>
          <w:sz w:val="24"/>
          <w:szCs w:val="24"/>
        </w:rPr>
        <w:t>CEHE</w:t>
      </w:r>
      <w:r w:rsidRPr="00FF7CA4">
        <w:rPr>
          <w:rFonts w:ascii="Times New Roman" w:hAnsi="Times New Roman"/>
          <w:sz w:val="24"/>
          <w:szCs w:val="24"/>
        </w:rPr>
        <w:t xml:space="preserve"> of </w:t>
      </w:r>
      <w:r w:rsidR="001F0A51">
        <w:rPr>
          <w:rFonts w:ascii="Times New Roman" w:hAnsi="Times New Roman"/>
          <w:sz w:val="24"/>
          <w:szCs w:val="24"/>
        </w:rPr>
        <w:t>6</w:t>
      </w:r>
      <w:r w:rsidRPr="00FF7CA4">
        <w:rPr>
          <w:rFonts w:ascii="Times New Roman" w:hAnsi="Times New Roman"/>
          <w:sz w:val="24"/>
          <w:szCs w:val="24"/>
        </w:rPr>
        <w:t>.</w:t>
      </w:r>
      <w:r w:rsidR="001F0A51">
        <w:rPr>
          <w:rFonts w:ascii="Times New Roman" w:hAnsi="Times New Roman"/>
          <w:sz w:val="24"/>
          <w:szCs w:val="24"/>
        </w:rPr>
        <w:t>5</w:t>
      </w:r>
      <w:r w:rsidR="00883C0D">
        <w:rPr>
          <w:rFonts w:ascii="Times New Roman" w:hAnsi="Times New Roman"/>
          <w:sz w:val="24"/>
          <w:szCs w:val="24"/>
        </w:rPr>
        <w:t>0</w:t>
      </w:r>
      <w:r w:rsidRPr="00FF7CA4">
        <w:rPr>
          <w:rFonts w:ascii="Times New Roman" w:hAnsi="Times New Roman"/>
          <w:sz w:val="24"/>
          <w:szCs w:val="24"/>
        </w:rPr>
        <w:t>%.</w:t>
      </w:r>
    </w:p>
    <w:p w14:paraId="4802C64E" w14:textId="1D96D4B8" w:rsidR="00D204FA" w:rsidRPr="00185543" w:rsidRDefault="00D204FA" w:rsidP="00D9384D">
      <w:pPr>
        <w:pStyle w:val="Heading2"/>
        <w:numPr>
          <w:ilvl w:val="0"/>
          <w:numId w:val="19"/>
        </w:numPr>
      </w:pPr>
      <w:bookmarkStart w:id="20" w:name="_Toc10117672"/>
      <w:r>
        <w:t>SUMMARY OF COST OF EQUITY ANALYS</w:t>
      </w:r>
      <w:r w:rsidR="002A09B6">
        <w:t>E</w:t>
      </w:r>
      <w:r>
        <w:t>S</w:t>
      </w:r>
      <w:bookmarkEnd w:id="20"/>
    </w:p>
    <w:p w14:paraId="2F2D387F" w14:textId="7ACE9F19" w:rsidR="00F639FA" w:rsidRPr="00F639FA" w:rsidRDefault="00D204FA" w:rsidP="00FF7CA4">
      <w:pPr>
        <w:pStyle w:val="BodyTextIndent2"/>
        <w:spacing w:after="120" w:line="360" w:lineRule="auto"/>
        <w:jc w:val="both"/>
        <w:rPr>
          <w:b/>
          <w:bCs/>
        </w:rPr>
      </w:pPr>
      <w:r w:rsidRPr="008A285A">
        <w:rPr>
          <w:b/>
          <w:bCs/>
        </w:rPr>
        <w:t>Q.</w:t>
      </w:r>
      <w:r w:rsidRPr="008A285A">
        <w:rPr>
          <w:b/>
          <w:bCs/>
        </w:rPr>
        <w:tab/>
        <w:t xml:space="preserve"> </w:t>
      </w:r>
      <w:r w:rsidR="00F639FA" w:rsidRPr="00F639FA">
        <w:rPr>
          <w:b/>
          <w:bCs/>
        </w:rPr>
        <w:t>Please sum</w:t>
      </w:r>
      <w:r w:rsidR="006A48D1">
        <w:rPr>
          <w:b/>
          <w:bCs/>
        </w:rPr>
        <w:t xml:space="preserve">marize the results of your cost </w:t>
      </w:r>
      <w:r w:rsidR="00F639FA" w:rsidRPr="00F639FA">
        <w:rPr>
          <w:b/>
          <w:bCs/>
        </w:rPr>
        <w:t>of</w:t>
      </w:r>
      <w:r w:rsidR="006A48D1">
        <w:rPr>
          <w:b/>
          <w:bCs/>
        </w:rPr>
        <w:t xml:space="preserve"> </w:t>
      </w:r>
      <w:r w:rsidR="00F639FA" w:rsidRPr="00F639FA">
        <w:rPr>
          <w:b/>
          <w:bCs/>
        </w:rPr>
        <w:t>equity analyses.</w:t>
      </w:r>
    </w:p>
    <w:p w14:paraId="7F08834F" w14:textId="77777777" w:rsidR="005C00F6" w:rsidRDefault="00F639FA" w:rsidP="00F639FA">
      <w:pPr>
        <w:pStyle w:val="BodyTextIndent2"/>
        <w:spacing w:after="120" w:line="360" w:lineRule="auto"/>
        <w:jc w:val="both"/>
        <w:rPr>
          <w:bCs/>
        </w:rPr>
      </w:pPr>
      <w:r w:rsidRPr="00F639FA">
        <w:rPr>
          <w:bCs/>
        </w:rPr>
        <w:t>A.</w:t>
      </w:r>
      <w:r w:rsidRPr="00F639FA">
        <w:rPr>
          <w:bCs/>
        </w:rPr>
        <w:tab/>
        <w:t xml:space="preserve">The results obtained from the </w:t>
      </w:r>
      <w:r w:rsidR="004E544C">
        <w:rPr>
          <w:bCs/>
        </w:rPr>
        <w:t xml:space="preserve">analyses </w:t>
      </w:r>
      <w:r w:rsidR="00AB19D6">
        <w:rPr>
          <w:bCs/>
        </w:rPr>
        <w:t>are as follows and are also included in</w:t>
      </w:r>
      <w:r w:rsidR="005C00F6">
        <w:rPr>
          <w:bCs/>
        </w:rPr>
        <w:t xml:space="preserve"> </w:t>
      </w:r>
      <w:r w:rsidR="004E544C" w:rsidRPr="007F22E7">
        <w:rPr>
          <w:bCs/>
        </w:rPr>
        <w:t xml:space="preserve">Attachment </w:t>
      </w:r>
    </w:p>
    <w:p w14:paraId="430355B7" w14:textId="6F09A6D2" w:rsidR="00D204FA" w:rsidRDefault="001D640C" w:rsidP="00F639FA">
      <w:pPr>
        <w:pStyle w:val="BodyTextIndent2"/>
        <w:spacing w:after="120" w:line="360" w:lineRule="auto"/>
        <w:jc w:val="both"/>
        <w:rPr>
          <w:bCs/>
        </w:rPr>
      </w:pPr>
      <w:r>
        <w:rPr>
          <w:bCs/>
        </w:rPr>
        <w:tab/>
      </w:r>
      <w:r w:rsidR="005C00F6">
        <w:rPr>
          <w:bCs/>
        </w:rPr>
        <w:t>JO</w:t>
      </w:r>
      <w:r w:rsidR="00F639FA" w:rsidRPr="007F22E7">
        <w:rPr>
          <w:bCs/>
        </w:rPr>
        <w:t>-9</w:t>
      </w:r>
      <w:r w:rsidR="007F22E7">
        <w:rPr>
          <w:bCs/>
        </w:rPr>
        <w:t>:</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2" w:type="dxa"/>
          <w:right w:w="72" w:type="dxa"/>
        </w:tblCellMar>
        <w:tblLook w:val="04A0" w:firstRow="1" w:lastRow="0" w:firstColumn="1" w:lastColumn="0" w:noHBand="0" w:noVBand="1"/>
      </w:tblPr>
      <w:tblGrid>
        <w:gridCol w:w="2695"/>
        <w:gridCol w:w="1890"/>
        <w:gridCol w:w="2430"/>
      </w:tblGrid>
      <w:tr w:rsidR="00CB47BB" w:rsidRPr="00B138FB" w14:paraId="09043B9A" w14:textId="77777777" w:rsidTr="00CB47BB">
        <w:trPr>
          <w:trHeight w:val="20"/>
          <w:jc w:val="center"/>
        </w:trPr>
        <w:tc>
          <w:tcPr>
            <w:tcW w:w="2695" w:type="dxa"/>
          </w:tcPr>
          <w:p w14:paraId="5BC2A123" w14:textId="5543D9B6" w:rsidR="00CB47BB" w:rsidRPr="00CB47BB" w:rsidRDefault="00CB47BB" w:rsidP="00A84F1A">
            <w:pPr>
              <w:pStyle w:val="answer"/>
              <w:tabs>
                <w:tab w:val="left" w:pos="720"/>
              </w:tabs>
              <w:spacing w:before="100" w:beforeAutospacing="1" w:after="100" w:afterAutospacing="1" w:line="240" w:lineRule="auto"/>
              <w:ind w:left="0" w:right="0" w:firstLine="0"/>
              <w:rPr>
                <w:b/>
                <w:sz w:val="22"/>
                <w:szCs w:val="22"/>
                <w:u w:val="single"/>
              </w:rPr>
            </w:pPr>
            <w:r w:rsidRPr="00CB47BB">
              <w:rPr>
                <w:b/>
                <w:sz w:val="22"/>
                <w:szCs w:val="22"/>
                <w:u w:val="single"/>
              </w:rPr>
              <w:t>Methodology</w:t>
            </w:r>
          </w:p>
        </w:tc>
        <w:tc>
          <w:tcPr>
            <w:tcW w:w="1890" w:type="dxa"/>
            <w:tcMar>
              <w:left w:w="0" w:type="dxa"/>
              <w:right w:w="0" w:type="dxa"/>
            </w:tcMar>
          </w:tcPr>
          <w:p w14:paraId="54AC9148" w14:textId="1A9E3CD9" w:rsidR="00CB47BB" w:rsidRPr="00B138FB" w:rsidRDefault="00CB47BB" w:rsidP="00CB47BB">
            <w:pPr>
              <w:pStyle w:val="answer"/>
              <w:tabs>
                <w:tab w:val="left" w:pos="720"/>
              </w:tabs>
              <w:spacing w:before="100" w:beforeAutospacing="1" w:after="100" w:afterAutospacing="1" w:line="240" w:lineRule="auto"/>
              <w:ind w:left="0" w:right="0" w:firstLine="0"/>
              <w:jc w:val="center"/>
              <w:rPr>
                <w:b/>
                <w:sz w:val="22"/>
                <w:szCs w:val="22"/>
                <w:u w:val="single"/>
              </w:rPr>
            </w:pPr>
            <w:r w:rsidRPr="00CB47BB">
              <w:rPr>
                <w:b/>
                <w:sz w:val="22"/>
                <w:szCs w:val="22"/>
                <w:u w:val="single"/>
              </w:rPr>
              <w:t>Point Estimate</w:t>
            </w:r>
          </w:p>
        </w:tc>
        <w:tc>
          <w:tcPr>
            <w:tcW w:w="2430" w:type="dxa"/>
            <w:noWrap/>
          </w:tcPr>
          <w:p w14:paraId="7B4E61A0" w14:textId="1599226B" w:rsidR="00CB47BB" w:rsidRPr="00B138FB" w:rsidRDefault="00CB47BB" w:rsidP="00CB47BB">
            <w:pPr>
              <w:pStyle w:val="answer"/>
              <w:tabs>
                <w:tab w:val="left" w:pos="720"/>
              </w:tabs>
              <w:spacing w:before="100" w:beforeAutospacing="1" w:after="100" w:afterAutospacing="1" w:line="240" w:lineRule="auto"/>
              <w:ind w:left="0" w:right="0" w:firstLine="0"/>
              <w:jc w:val="center"/>
              <w:rPr>
                <w:b/>
                <w:sz w:val="22"/>
                <w:szCs w:val="22"/>
                <w:u w:val="single"/>
              </w:rPr>
            </w:pPr>
            <w:r w:rsidRPr="00CB47BB">
              <w:rPr>
                <w:b/>
                <w:sz w:val="22"/>
                <w:szCs w:val="22"/>
                <w:u w:val="single"/>
              </w:rPr>
              <w:t>Range</w:t>
            </w:r>
          </w:p>
        </w:tc>
      </w:tr>
      <w:tr w:rsidR="00CB47BB" w:rsidRPr="00B138FB" w14:paraId="1D58514F" w14:textId="77777777" w:rsidTr="00CB47BB">
        <w:trPr>
          <w:trHeight w:val="20"/>
          <w:jc w:val="center"/>
        </w:trPr>
        <w:tc>
          <w:tcPr>
            <w:tcW w:w="2695" w:type="dxa"/>
          </w:tcPr>
          <w:p w14:paraId="026F3BD2" w14:textId="26EEBEB8" w:rsidR="00CB47BB" w:rsidRPr="00CB47BB" w:rsidRDefault="00CB47BB" w:rsidP="000A3A6F">
            <w:pPr>
              <w:pStyle w:val="answer"/>
              <w:tabs>
                <w:tab w:val="left" w:pos="720"/>
              </w:tabs>
              <w:spacing w:before="100" w:beforeAutospacing="1" w:after="100" w:afterAutospacing="1" w:line="240" w:lineRule="auto"/>
              <w:ind w:left="0" w:right="0" w:firstLine="0"/>
              <w:jc w:val="left"/>
              <w:rPr>
                <w:sz w:val="22"/>
                <w:szCs w:val="22"/>
              </w:rPr>
            </w:pPr>
            <w:r w:rsidRPr="00CB47BB">
              <w:rPr>
                <w:sz w:val="22"/>
                <w:szCs w:val="22"/>
              </w:rPr>
              <w:t>Single-stage DCF Analys</w:t>
            </w:r>
            <w:r w:rsidR="000A3A6F">
              <w:rPr>
                <w:sz w:val="22"/>
                <w:szCs w:val="22"/>
              </w:rPr>
              <w:t>i</w:t>
            </w:r>
            <w:r w:rsidRPr="00CB47BB">
              <w:rPr>
                <w:sz w:val="22"/>
                <w:szCs w:val="22"/>
              </w:rPr>
              <w:t>s</w:t>
            </w:r>
          </w:p>
        </w:tc>
        <w:tc>
          <w:tcPr>
            <w:tcW w:w="1890" w:type="dxa"/>
            <w:noWrap/>
            <w:tcMar>
              <w:left w:w="0" w:type="dxa"/>
              <w:right w:w="0" w:type="dxa"/>
            </w:tcMar>
          </w:tcPr>
          <w:p w14:paraId="00569599" w14:textId="3616DAA6" w:rsidR="00CB47BB" w:rsidRPr="00CB47BB" w:rsidRDefault="00CB47BB" w:rsidP="00CB47BB">
            <w:pPr>
              <w:pStyle w:val="answer"/>
              <w:tabs>
                <w:tab w:val="left" w:pos="720"/>
              </w:tabs>
              <w:spacing w:before="100" w:beforeAutospacing="1" w:after="100" w:afterAutospacing="1" w:line="240" w:lineRule="auto"/>
              <w:ind w:left="0" w:right="0" w:firstLine="0"/>
              <w:jc w:val="center"/>
              <w:rPr>
                <w:sz w:val="22"/>
                <w:szCs w:val="22"/>
              </w:rPr>
            </w:pPr>
            <w:r w:rsidRPr="00CB47BB">
              <w:rPr>
                <w:sz w:val="22"/>
                <w:szCs w:val="22"/>
              </w:rPr>
              <w:t>8.38%</w:t>
            </w:r>
          </w:p>
        </w:tc>
        <w:tc>
          <w:tcPr>
            <w:tcW w:w="2430" w:type="dxa"/>
            <w:noWrap/>
          </w:tcPr>
          <w:p w14:paraId="14B5CBCE" w14:textId="02C7B34E" w:rsidR="00CB47BB" w:rsidRPr="00CB47BB" w:rsidRDefault="00CB47BB" w:rsidP="00640785">
            <w:pPr>
              <w:pStyle w:val="answer"/>
              <w:tabs>
                <w:tab w:val="left" w:pos="720"/>
              </w:tabs>
              <w:spacing w:before="100" w:beforeAutospacing="1" w:after="100" w:afterAutospacing="1" w:line="240" w:lineRule="auto"/>
              <w:ind w:left="0" w:right="0" w:firstLine="0"/>
              <w:jc w:val="center"/>
              <w:rPr>
                <w:sz w:val="22"/>
                <w:szCs w:val="22"/>
              </w:rPr>
            </w:pPr>
            <w:r w:rsidRPr="00CB47BB">
              <w:rPr>
                <w:sz w:val="22"/>
                <w:szCs w:val="22"/>
              </w:rPr>
              <w:t>6.09%</w:t>
            </w:r>
            <w:r w:rsidR="00640785">
              <w:rPr>
                <w:sz w:val="22"/>
                <w:szCs w:val="22"/>
              </w:rPr>
              <w:t>–</w:t>
            </w:r>
            <w:r w:rsidRPr="00CB47BB">
              <w:rPr>
                <w:sz w:val="22"/>
                <w:szCs w:val="22"/>
              </w:rPr>
              <w:t>10.95%</w:t>
            </w:r>
          </w:p>
        </w:tc>
      </w:tr>
      <w:tr w:rsidR="00CB47BB" w:rsidRPr="00B138FB" w14:paraId="0BD57D32" w14:textId="77777777" w:rsidTr="00CB47BB">
        <w:trPr>
          <w:trHeight w:val="20"/>
          <w:jc w:val="center"/>
        </w:trPr>
        <w:tc>
          <w:tcPr>
            <w:tcW w:w="2695" w:type="dxa"/>
          </w:tcPr>
          <w:p w14:paraId="6034051C" w14:textId="25CED285" w:rsidR="00CB47BB" w:rsidRPr="00CB47BB" w:rsidRDefault="00CB47BB" w:rsidP="00CB47BB">
            <w:pPr>
              <w:pStyle w:val="answer"/>
              <w:tabs>
                <w:tab w:val="left" w:pos="720"/>
              </w:tabs>
              <w:spacing w:before="100" w:beforeAutospacing="1" w:after="100" w:afterAutospacing="1" w:line="240" w:lineRule="auto"/>
              <w:ind w:left="0" w:right="0" w:firstLine="0"/>
              <w:jc w:val="left"/>
              <w:rPr>
                <w:sz w:val="22"/>
                <w:szCs w:val="22"/>
              </w:rPr>
            </w:pPr>
            <w:r w:rsidRPr="00CB47BB">
              <w:rPr>
                <w:sz w:val="22"/>
                <w:szCs w:val="22"/>
              </w:rPr>
              <w:t>Multistage DCF Analysis</w:t>
            </w:r>
          </w:p>
        </w:tc>
        <w:tc>
          <w:tcPr>
            <w:tcW w:w="1890" w:type="dxa"/>
            <w:noWrap/>
            <w:tcMar>
              <w:left w:w="0" w:type="dxa"/>
              <w:right w:w="0" w:type="dxa"/>
            </w:tcMar>
          </w:tcPr>
          <w:p w14:paraId="46B4F2F7" w14:textId="0A6F0559" w:rsidR="00CB47BB" w:rsidRPr="00CB47BB" w:rsidRDefault="00CB47BB" w:rsidP="00CB47BB">
            <w:pPr>
              <w:pStyle w:val="answer"/>
              <w:tabs>
                <w:tab w:val="left" w:pos="720"/>
              </w:tabs>
              <w:spacing w:before="100" w:beforeAutospacing="1" w:after="100" w:afterAutospacing="1" w:line="240" w:lineRule="auto"/>
              <w:ind w:left="0" w:right="0" w:firstLine="0"/>
              <w:jc w:val="center"/>
              <w:rPr>
                <w:sz w:val="22"/>
                <w:szCs w:val="22"/>
              </w:rPr>
            </w:pPr>
            <w:r w:rsidRPr="00CB47BB">
              <w:rPr>
                <w:sz w:val="22"/>
                <w:szCs w:val="22"/>
              </w:rPr>
              <w:t>8.31%</w:t>
            </w:r>
          </w:p>
        </w:tc>
        <w:tc>
          <w:tcPr>
            <w:tcW w:w="2430" w:type="dxa"/>
            <w:noWrap/>
          </w:tcPr>
          <w:p w14:paraId="26D9C7DF" w14:textId="2336B29B" w:rsidR="00CB47BB" w:rsidRPr="00CB47BB" w:rsidRDefault="00CB47BB" w:rsidP="00640785">
            <w:pPr>
              <w:pStyle w:val="answer"/>
              <w:tabs>
                <w:tab w:val="left" w:pos="720"/>
              </w:tabs>
              <w:spacing w:before="100" w:beforeAutospacing="1" w:after="100" w:afterAutospacing="1" w:line="240" w:lineRule="auto"/>
              <w:ind w:left="0" w:right="0" w:firstLine="0"/>
              <w:jc w:val="center"/>
              <w:rPr>
                <w:sz w:val="22"/>
                <w:szCs w:val="22"/>
              </w:rPr>
            </w:pPr>
            <w:r w:rsidRPr="00CB47BB">
              <w:rPr>
                <w:sz w:val="22"/>
                <w:szCs w:val="22"/>
              </w:rPr>
              <w:t>7.51%</w:t>
            </w:r>
            <w:r w:rsidR="00640785">
              <w:rPr>
                <w:sz w:val="22"/>
                <w:szCs w:val="22"/>
              </w:rPr>
              <w:t>–</w:t>
            </w:r>
            <w:r w:rsidRPr="00CB47BB">
              <w:rPr>
                <w:sz w:val="22"/>
                <w:szCs w:val="22"/>
              </w:rPr>
              <w:t>10.22%</w:t>
            </w:r>
          </w:p>
        </w:tc>
      </w:tr>
      <w:tr w:rsidR="00CB47BB" w:rsidRPr="00B138FB" w14:paraId="1C5DFACC" w14:textId="77777777" w:rsidTr="00CB47BB">
        <w:trPr>
          <w:trHeight w:val="20"/>
          <w:jc w:val="center"/>
        </w:trPr>
        <w:tc>
          <w:tcPr>
            <w:tcW w:w="2695" w:type="dxa"/>
          </w:tcPr>
          <w:p w14:paraId="1830B012" w14:textId="602CD051" w:rsidR="00CB47BB" w:rsidRPr="00CB47BB" w:rsidRDefault="00CB47BB" w:rsidP="00CB47BB">
            <w:pPr>
              <w:pStyle w:val="answer"/>
              <w:tabs>
                <w:tab w:val="left" w:pos="720"/>
              </w:tabs>
              <w:spacing w:before="100" w:beforeAutospacing="1" w:after="100" w:afterAutospacing="1" w:line="240" w:lineRule="auto"/>
              <w:ind w:left="0" w:right="0" w:firstLine="0"/>
              <w:jc w:val="left"/>
              <w:rPr>
                <w:sz w:val="22"/>
                <w:szCs w:val="22"/>
              </w:rPr>
            </w:pPr>
            <w:r w:rsidRPr="00CB47BB">
              <w:rPr>
                <w:sz w:val="22"/>
                <w:szCs w:val="22"/>
              </w:rPr>
              <w:t>Conventional Risk Premium</w:t>
            </w:r>
          </w:p>
        </w:tc>
        <w:tc>
          <w:tcPr>
            <w:tcW w:w="1890" w:type="dxa"/>
            <w:noWrap/>
            <w:tcMar>
              <w:left w:w="0" w:type="dxa"/>
              <w:right w:w="0" w:type="dxa"/>
            </w:tcMar>
          </w:tcPr>
          <w:p w14:paraId="1EDF7244" w14:textId="32409AFA" w:rsidR="00CB47BB" w:rsidRPr="00CB47BB" w:rsidRDefault="00CB47BB" w:rsidP="00CB47BB">
            <w:pPr>
              <w:pStyle w:val="answer"/>
              <w:tabs>
                <w:tab w:val="left" w:pos="720"/>
              </w:tabs>
              <w:spacing w:before="100" w:beforeAutospacing="1" w:after="100" w:afterAutospacing="1" w:line="240" w:lineRule="auto"/>
              <w:ind w:left="0" w:right="0" w:firstLine="0"/>
              <w:jc w:val="center"/>
              <w:rPr>
                <w:sz w:val="22"/>
                <w:szCs w:val="22"/>
              </w:rPr>
            </w:pPr>
            <w:r w:rsidRPr="00CB47BB">
              <w:rPr>
                <w:sz w:val="22"/>
                <w:szCs w:val="22"/>
              </w:rPr>
              <w:t>9.79%</w:t>
            </w:r>
          </w:p>
        </w:tc>
        <w:tc>
          <w:tcPr>
            <w:tcW w:w="2430" w:type="dxa"/>
            <w:noWrap/>
          </w:tcPr>
          <w:p w14:paraId="7D2F585E" w14:textId="0356D8FD" w:rsidR="00CB47BB" w:rsidRPr="00CB47BB" w:rsidRDefault="00CB47BB" w:rsidP="00CB47BB">
            <w:pPr>
              <w:pStyle w:val="answer"/>
              <w:tabs>
                <w:tab w:val="left" w:pos="720"/>
              </w:tabs>
              <w:spacing w:before="100" w:beforeAutospacing="1" w:after="100" w:afterAutospacing="1" w:line="240" w:lineRule="auto"/>
              <w:ind w:left="0" w:right="0" w:firstLine="0"/>
              <w:jc w:val="center"/>
              <w:rPr>
                <w:sz w:val="22"/>
                <w:szCs w:val="22"/>
              </w:rPr>
            </w:pPr>
            <w:r w:rsidRPr="00CB47BB">
              <w:rPr>
                <w:sz w:val="22"/>
                <w:szCs w:val="22"/>
              </w:rPr>
              <w:t>N/A</w:t>
            </w:r>
          </w:p>
        </w:tc>
      </w:tr>
      <w:tr w:rsidR="00CB47BB" w:rsidRPr="00B138FB" w14:paraId="4DC14946" w14:textId="77777777" w:rsidTr="00CB47BB">
        <w:trPr>
          <w:trHeight w:val="20"/>
          <w:jc w:val="center"/>
        </w:trPr>
        <w:tc>
          <w:tcPr>
            <w:tcW w:w="2695" w:type="dxa"/>
          </w:tcPr>
          <w:p w14:paraId="5C6B2645" w14:textId="738643B5" w:rsidR="00CB47BB" w:rsidRPr="00CB47BB" w:rsidRDefault="00CB47BB" w:rsidP="00CB47BB">
            <w:pPr>
              <w:pStyle w:val="answer"/>
              <w:tabs>
                <w:tab w:val="left" w:pos="720"/>
              </w:tabs>
              <w:spacing w:before="100" w:beforeAutospacing="1" w:after="100" w:afterAutospacing="1" w:line="240" w:lineRule="auto"/>
              <w:ind w:left="0" w:right="0" w:firstLine="0"/>
              <w:jc w:val="left"/>
              <w:rPr>
                <w:sz w:val="22"/>
                <w:szCs w:val="22"/>
              </w:rPr>
            </w:pPr>
            <w:r w:rsidRPr="00CB47BB">
              <w:rPr>
                <w:b/>
                <w:sz w:val="22"/>
                <w:szCs w:val="22"/>
              </w:rPr>
              <w:t>Final ROE Estimate</w:t>
            </w:r>
          </w:p>
        </w:tc>
        <w:tc>
          <w:tcPr>
            <w:tcW w:w="1890" w:type="dxa"/>
            <w:noWrap/>
            <w:tcMar>
              <w:left w:w="0" w:type="dxa"/>
              <w:right w:w="0" w:type="dxa"/>
            </w:tcMar>
          </w:tcPr>
          <w:p w14:paraId="15A80DD2" w14:textId="00E05D43" w:rsidR="00CB47BB" w:rsidRPr="00CB47BB" w:rsidRDefault="00CB47BB" w:rsidP="00CB47BB">
            <w:pPr>
              <w:pStyle w:val="answer"/>
              <w:tabs>
                <w:tab w:val="left" w:pos="720"/>
              </w:tabs>
              <w:spacing w:before="100" w:beforeAutospacing="1" w:after="100" w:afterAutospacing="1" w:line="240" w:lineRule="auto"/>
              <w:ind w:left="0" w:right="0" w:firstLine="0"/>
              <w:jc w:val="center"/>
              <w:rPr>
                <w:sz w:val="22"/>
                <w:szCs w:val="22"/>
              </w:rPr>
            </w:pPr>
            <w:r w:rsidRPr="00CB47BB">
              <w:rPr>
                <w:b/>
                <w:sz w:val="22"/>
                <w:szCs w:val="22"/>
              </w:rPr>
              <w:t>9.45%</w:t>
            </w:r>
          </w:p>
        </w:tc>
        <w:tc>
          <w:tcPr>
            <w:tcW w:w="2430" w:type="dxa"/>
            <w:noWrap/>
          </w:tcPr>
          <w:p w14:paraId="6B26E237" w14:textId="3AA5D095" w:rsidR="00CB47BB" w:rsidRPr="00CB47BB" w:rsidRDefault="00CB47BB" w:rsidP="00050118">
            <w:pPr>
              <w:pStyle w:val="answer"/>
              <w:tabs>
                <w:tab w:val="left" w:pos="720"/>
              </w:tabs>
              <w:spacing w:before="100" w:beforeAutospacing="1" w:after="100" w:afterAutospacing="1" w:line="240" w:lineRule="auto"/>
              <w:ind w:left="0" w:right="0" w:firstLine="0"/>
              <w:jc w:val="center"/>
              <w:rPr>
                <w:sz w:val="22"/>
                <w:szCs w:val="22"/>
              </w:rPr>
            </w:pPr>
            <w:r w:rsidRPr="00CB47BB">
              <w:rPr>
                <w:sz w:val="22"/>
                <w:szCs w:val="22"/>
              </w:rPr>
              <w:t>8.34%</w:t>
            </w:r>
            <w:r w:rsidR="00050118">
              <w:rPr>
                <w:sz w:val="22"/>
                <w:szCs w:val="22"/>
              </w:rPr>
              <w:t>–</w:t>
            </w:r>
            <w:r w:rsidRPr="00CB47BB">
              <w:rPr>
                <w:sz w:val="22"/>
                <w:szCs w:val="22"/>
              </w:rPr>
              <w:t>9.79%</w:t>
            </w:r>
          </w:p>
        </w:tc>
      </w:tr>
    </w:tbl>
    <w:p w14:paraId="795E6DA4" w14:textId="77777777" w:rsidR="00610A63" w:rsidRDefault="00610A63" w:rsidP="00F639FA">
      <w:pPr>
        <w:pStyle w:val="BodyTextIndent2"/>
        <w:spacing w:after="120" w:line="360" w:lineRule="auto"/>
        <w:jc w:val="both"/>
        <w:rPr>
          <w:bCs/>
        </w:rPr>
      </w:pPr>
    </w:p>
    <w:p w14:paraId="001A4998" w14:textId="61F41760" w:rsidR="00866F7E" w:rsidRPr="00866F7E" w:rsidRDefault="00327A68" w:rsidP="002457D8">
      <w:pPr>
        <w:pStyle w:val="question"/>
      </w:pPr>
      <w:r>
        <w:t>Q.</w:t>
      </w:r>
      <w:r>
        <w:tab/>
      </w:r>
      <w:r w:rsidR="00866F7E" w:rsidRPr="00866F7E">
        <w:t>What is your recommend</w:t>
      </w:r>
      <w:r w:rsidR="005F5171">
        <w:t xml:space="preserve">ed </w:t>
      </w:r>
      <w:r w:rsidR="00866F7E" w:rsidRPr="00866F7E">
        <w:t>return on equity for the Company?</w:t>
      </w:r>
    </w:p>
    <w:p w14:paraId="5AEE359F" w14:textId="5F984495" w:rsidR="00E40F4B" w:rsidRDefault="00866F7E" w:rsidP="00CC6093">
      <w:pPr>
        <w:numPr>
          <w:ilvl w:val="0"/>
          <w:numId w:val="15"/>
        </w:numPr>
        <w:tabs>
          <w:tab w:val="clear" w:pos="360"/>
          <w:tab w:val="num" w:pos="-3420"/>
          <w:tab w:val="left" w:pos="-3330"/>
          <w:tab w:val="left" w:pos="720"/>
        </w:tabs>
        <w:spacing w:line="480" w:lineRule="auto"/>
        <w:ind w:left="720" w:hanging="720"/>
        <w:jc w:val="both"/>
        <w:rPr>
          <w:sz w:val="24"/>
          <w:szCs w:val="24"/>
        </w:rPr>
      </w:pPr>
      <w:r w:rsidRPr="00866F7E">
        <w:rPr>
          <w:sz w:val="24"/>
          <w:szCs w:val="24"/>
        </w:rPr>
        <w:t>Considering the DCF analyses of companies that are comparable to the Company and the conventional risk</w:t>
      </w:r>
      <w:r w:rsidR="00175EEB">
        <w:rPr>
          <w:sz w:val="24"/>
          <w:szCs w:val="24"/>
        </w:rPr>
        <w:t xml:space="preserve"> </w:t>
      </w:r>
      <w:r w:rsidRPr="00866F7E">
        <w:rPr>
          <w:sz w:val="24"/>
          <w:szCs w:val="24"/>
        </w:rPr>
        <w:t xml:space="preserve">premium analysis described previously in my testimony, I recommend an ROE for </w:t>
      </w:r>
      <w:r w:rsidR="001D640C">
        <w:rPr>
          <w:sz w:val="24"/>
          <w:szCs w:val="24"/>
        </w:rPr>
        <w:t>CEHE</w:t>
      </w:r>
      <w:r w:rsidRPr="00866F7E">
        <w:rPr>
          <w:sz w:val="24"/>
          <w:szCs w:val="24"/>
        </w:rPr>
        <w:t xml:space="preserve"> of 9.</w:t>
      </w:r>
      <w:r w:rsidR="008B0A30">
        <w:rPr>
          <w:sz w:val="24"/>
          <w:szCs w:val="24"/>
        </w:rPr>
        <w:t>4</w:t>
      </w:r>
      <w:r w:rsidR="00CB2D1D">
        <w:rPr>
          <w:sz w:val="24"/>
          <w:szCs w:val="24"/>
        </w:rPr>
        <w:t>5</w:t>
      </w:r>
      <w:r w:rsidRPr="00866F7E">
        <w:rPr>
          <w:sz w:val="24"/>
          <w:szCs w:val="24"/>
        </w:rPr>
        <w:t>%.</w:t>
      </w:r>
      <w:r w:rsidR="00455023">
        <w:rPr>
          <w:sz w:val="24"/>
          <w:szCs w:val="24"/>
        </w:rPr>
        <w:t xml:space="preserve"> </w:t>
      </w:r>
      <w:r w:rsidRPr="00866F7E">
        <w:rPr>
          <w:sz w:val="24"/>
          <w:szCs w:val="24"/>
        </w:rPr>
        <w:t xml:space="preserve"> </w:t>
      </w:r>
      <w:r w:rsidRPr="00E40F4B">
        <w:rPr>
          <w:sz w:val="24"/>
          <w:szCs w:val="24"/>
        </w:rPr>
        <w:t>My point estimate of 9.</w:t>
      </w:r>
      <w:r w:rsidR="008B0A30" w:rsidRPr="00E40F4B">
        <w:rPr>
          <w:sz w:val="24"/>
          <w:szCs w:val="24"/>
        </w:rPr>
        <w:t>4</w:t>
      </w:r>
      <w:r w:rsidR="001D640C" w:rsidRPr="00E40F4B">
        <w:rPr>
          <w:sz w:val="24"/>
          <w:szCs w:val="24"/>
        </w:rPr>
        <w:t>5</w:t>
      </w:r>
      <w:r w:rsidRPr="00E40F4B">
        <w:rPr>
          <w:sz w:val="24"/>
          <w:szCs w:val="24"/>
        </w:rPr>
        <w:t>% lies within the range of 8.</w:t>
      </w:r>
      <w:r w:rsidR="008B0A30" w:rsidRPr="00E40F4B">
        <w:rPr>
          <w:sz w:val="24"/>
          <w:szCs w:val="24"/>
        </w:rPr>
        <w:t>34</w:t>
      </w:r>
      <w:r w:rsidRPr="00E40F4B">
        <w:rPr>
          <w:sz w:val="24"/>
          <w:szCs w:val="24"/>
        </w:rPr>
        <w:t>% to 9.</w:t>
      </w:r>
      <w:r w:rsidR="008B0A30" w:rsidRPr="00E40F4B">
        <w:rPr>
          <w:sz w:val="24"/>
          <w:szCs w:val="24"/>
        </w:rPr>
        <w:t>7</w:t>
      </w:r>
      <w:r w:rsidRPr="00E40F4B">
        <w:rPr>
          <w:sz w:val="24"/>
          <w:szCs w:val="24"/>
        </w:rPr>
        <w:t>9% as calculated by my DCF and risk</w:t>
      </w:r>
      <w:r w:rsidR="005F5171" w:rsidRPr="001D556C">
        <w:rPr>
          <w:sz w:val="24"/>
          <w:szCs w:val="24"/>
        </w:rPr>
        <w:t xml:space="preserve"> </w:t>
      </w:r>
      <w:r w:rsidRPr="001D556C">
        <w:rPr>
          <w:sz w:val="24"/>
          <w:szCs w:val="24"/>
        </w:rPr>
        <w:t xml:space="preserve">premium analyses.  </w:t>
      </w:r>
    </w:p>
    <w:p w14:paraId="309D8B18" w14:textId="13C946F5" w:rsidR="00866F7E" w:rsidRPr="00865D6C" w:rsidRDefault="00E40F4B" w:rsidP="00912E35">
      <w:pPr>
        <w:tabs>
          <w:tab w:val="left" w:pos="-3330"/>
          <w:tab w:val="left" w:pos="720"/>
        </w:tabs>
        <w:spacing w:line="480" w:lineRule="auto"/>
        <w:ind w:left="720"/>
        <w:jc w:val="both"/>
        <w:rPr>
          <w:sz w:val="24"/>
          <w:szCs w:val="24"/>
        </w:rPr>
      </w:pPr>
      <w:r>
        <w:rPr>
          <w:sz w:val="24"/>
          <w:szCs w:val="24"/>
        </w:rPr>
        <w:tab/>
      </w:r>
      <w:r w:rsidR="00866F7E" w:rsidRPr="00E40F4B">
        <w:rPr>
          <w:sz w:val="24"/>
          <w:szCs w:val="24"/>
        </w:rPr>
        <w:t>After assessing other factors</w:t>
      </w:r>
      <w:r w:rsidR="00F10551">
        <w:rPr>
          <w:sz w:val="24"/>
          <w:szCs w:val="24"/>
        </w:rPr>
        <w:t>,</w:t>
      </w:r>
      <w:r w:rsidR="00866F7E" w:rsidRPr="00E40F4B">
        <w:rPr>
          <w:sz w:val="24"/>
          <w:szCs w:val="24"/>
        </w:rPr>
        <w:t xml:space="preserve"> such as current capital market conditions, recent Staff rate of return testimony,</w:t>
      </w:r>
      <w:r w:rsidR="00DC1963" w:rsidRPr="000D0611">
        <w:rPr>
          <w:rStyle w:val="FootnoteReference"/>
          <w:sz w:val="24"/>
          <w:szCs w:val="24"/>
        </w:rPr>
        <w:footnoteReference w:id="21"/>
      </w:r>
      <w:r w:rsidR="00866F7E" w:rsidRPr="00E40F4B">
        <w:rPr>
          <w:sz w:val="24"/>
          <w:szCs w:val="24"/>
        </w:rPr>
        <w:t xml:space="preserve"> and recently approved rates of return for comparable companies</w:t>
      </w:r>
      <w:r w:rsidR="00F662D5">
        <w:rPr>
          <w:sz w:val="24"/>
          <w:szCs w:val="24"/>
        </w:rPr>
        <w:t>,</w:t>
      </w:r>
      <w:r w:rsidR="007B3403" w:rsidRPr="00E40F4B">
        <w:rPr>
          <w:sz w:val="24"/>
          <w:szCs w:val="24"/>
        </w:rPr>
        <w:t xml:space="preserve"> such as the average authorized ROE of 9.42% for delivery-only </w:t>
      </w:r>
      <w:r w:rsidR="00F662D5">
        <w:rPr>
          <w:sz w:val="24"/>
          <w:szCs w:val="24"/>
        </w:rPr>
        <w:t xml:space="preserve">electric utilities </w:t>
      </w:r>
      <w:r w:rsidR="00865D6C">
        <w:rPr>
          <w:sz w:val="24"/>
          <w:szCs w:val="24"/>
        </w:rPr>
        <w:t xml:space="preserve">in other jurisdictions </w:t>
      </w:r>
      <w:r w:rsidR="007B3403" w:rsidRPr="00E40F4B">
        <w:rPr>
          <w:sz w:val="24"/>
          <w:szCs w:val="24"/>
        </w:rPr>
        <w:t xml:space="preserve">as published </w:t>
      </w:r>
      <w:r w:rsidR="00912E35">
        <w:rPr>
          <w:sz w:val="24"/>
          <w:szCs w:val="24"/>
        </w:rPr>
        <w:t xml:space="preserve">on the </w:t>
      </w:r>
      <w:r w:rsidR="007B3403" w:rsidRPr="00E40F4B">
        <w:rPr>
          <w:sz w:val="24"/>
          <w:szCs w:val="24"/>
        </w:rPr>
        <w:t>S&amp;P Global Market Intelligence RRA</w:t>
      </w:r>
      <w:r w:rsidR="001B774B" w:rsidRPr="001D556C">
        <w:rPr>
          <w:sz w:val="24"/>
          <w:szCs w:val="24"/>
        </w:rPr>
        <w:t xml:space="preserve"> Regulatory Focus </w:t>
      </w:r>
      <w:r w:rsidR="00601A44" w:rsidRPr="001D556C">
        <w:rPr>
          <w:sz w:val="24"/>
          <w:szCs w:val="24"/>
        </w:rPr>
        <w:t>report for the first quarter of 2019</w:t>
      </w:r>
      <w:r w:rsidR="00A74B12" w:rsidRPr="001D556C">
        <w:rPr>
          <w:sz w:val="24"/>
          <w:szCs w:val="24"/>
        </w:rPr>
        <w:t xml:space="preserve"> (</w:t>
      </w:r>
      <w:bookmarkStart w:id="21" w:name="OLE_LINK17"/>
      <w:bookmarkStart w:id="22" w:name="OLE_LINK18"/>
      <w:r w:rsidR="00A74B12" w:rsidRPr="001D556C">
        <w:rPr>
          <w:sz w:val="24"/>
          <w:szCs w:val="24"/>
        </w:rPr>
        <w:t>1Q-2019 S&amp;P G</w:t>
      </w:r>
      <w:r w:rsidR="00630071">
        <w:rPr>
          <w:sz w:val="24"/>
          <w:szCs w:val="24"/>
        </w:rPr>
        <w:t>lobal Market Intelligence</w:t>
      </w:r>
      <w:r w:rsidR="00A74B12" w:rsidRPr="001D556C">
        <w:rPr>
          <w:sz w:val="24"/>
          <w:szCs w:val="24"/>
        </w:rPr>
        <w:t xml:space="preserve"> RRA</w:t>
      </w:r>
      <w:r>
        <w:rPr>
          <w:sz w:val="24"/>
          <w:szCs w:val="24"/>
        </w:rPr>
        <w:t xml:space="preserve"> Report</w:t>
      </w:r>
      <w:bookmarkEnd w:id="21"/>
      <w:bookmarkEnd w:id="22"/>
      <w:r w:rsidR="00A74B12" w:rsidRPr="00E40F4B">
        <w:rPr>
          <w:sz w:val="24"/>
          <w:szCs w:val="24"/>
        </w:rPr>
        <w:t>)</w:t>
      </w:r>
      <w:r w:rsidR="00F662D5">
        <w:rPr>
          <w:sz w:val="24"/>
          <w:szCs w:val="24"/>
        </w:rPr>
        <w:t>,</w:t>
      </w:r>
      <w:r w:rsidR="0041117B">
        <w:rPr>
          <w:sz w:val="24"/>
          <w:szCs w:val="24"/>
        </w:rPr>
        <w:t xml:space="preserve"> </w:t>
      </w:r>
      <w:r w:rsidR="00254EAF">
        <w:rPr>
          <w:sz w:val="24"/>
          <w:szCs w:val="24"/>
        </w:rPr>
        <w:t xml:space="preserve">included as </w:t>
      </w:r>
      <w:r w:rsidR="0041117B">
        <w:rPr>
          <w:sz w:val="24"/>
          <w:szCs w:val="24"/>
        </w:rPr>
        <w:t>Confidential Attachment JO-11 to my testimony</w:t>
      </w:r>
      <w:r w:rsidR="00E900E4">
        <w:rPr>
          <w:sz w:val="24"/>
          <w:szCs w:val="24"/>
        </w:rPr>
        <w:t>,</w:t>
      </w:r>
      <w:r w:rsidR="001D556C">
        <w:rPr>
          <w:rStyle w:val="FootnoteReference"/>
        </w:rPr>
        <w:footnoteReference w:id="22"/>
      </w:r>
      <w:r w:rsidR="00A74B12" w:rsidRPr="00E40F4B">
        <w:rPr>
          <w:sz w:val="24"/>
          <w:szCs w:val="24"/>
        </w:rPr>
        <w:t xml:space="preserve"> </w:t>
      </w:r>
      <w:r w:rsidR="00866F7E" w:rsidRPr="00E40F4B">
        <w:rPr>
          <w:sz w:val="24"/>
          <w:szCs w:val="24"/>
        </w:rPr>
        <w:t xml:space="preserve"> I concluded that the best estimate for a cost of equity for </w:t>
      </w:r>
      <w:r w:rsidR="00EF6B71" w:rsidRPr="00E40F4B">
        <w:rPr>
          <w:sz w:val="24"/>
          <w:szCs w:val="24"/>
        </w:rPr>
        <w:t>CEHE</w:t>
      </w:r>
      <w:r w:rsidR="00866F7E" w:rsidRPr="00E40F4B">
        <w:rPr>
          <w:sz w:val="24"/>
          <w:szCs w:val="24"/>
        </w:rPr>
        <w:t xml:space="preserve"> lies in the upper half of the range.  Accordingly, I selected my point estimate for </w:t>
      </w:r>
      <w:r w:rsidR="00EF6B71" w:rsidRPr="001D556C">
        <w:rPr>
          <w:sz w:val="24"/>
          <w:szCs w:val="24"/>
        </w:rPr>
        <w:t>CEHE</w:t>
      </w:r>
      <w:r w:rsidR="00866F7E" w:rsidRPr="001D556C">
        <w:rPr>
          <w:sz w:val="24"/>
          <w:szCs w:val="24"/>
        </w:rPr>
        <w:t>’s return on equity of 9.</w:t>
      </w:r>
      <w:r w:rsidR="00EF6B71" w:rsidRPr="001D556C">
        <w:rPr>
          <w:sz w:val="24"/>
          <w:szCs w:val="24"/>
        </w:rPr>
        <w:t>45</w:t>
      </w:r>
      <w:r w:rsidR="00866F7E" w:rsidRPr="001D556C">
        <w:rPr>
          <w:sz w:val="24"/>
          <w:szCs w:val="24"/>
        </w:rPr>
        <w:t xml:space="preserve">% because </w:t>
      </w:r>
      <w:r w:rsidR="00175EEB" w:rsidRPr="001D556C">
        <w:rPr>
          <w:sz w:val="24"/>
          <w:szCs w:val="24"/>
        </w:rPr>
        <w:t xml:space="preserve">(1) </w:t>
      </w:r>
      <w:r w:rsidR="00866F7E" w:rsidRPr="001D556C">
        <w:rPr>
          <w:sz w:val="24"/>
          <w:szCs w:val="24"/>
        </w:rPr>
        <w:t>it lies</w:t>
      </w:r>
      <w:r w:rsidR="00CB2D1D" w:rsidRPr="001D556C">
        <w:rPr>
          <w:sz w:val="24"/>
          <w:szCs w:val="24"/>
        </w:rPr>
        <w:t xml:space="preserve"> in the </w:t>
      </w:r>
      <w:r w:rsidR="00EF6B71" w:rsidRPr="001D556C">
        <w:rPr>
          <w:sz w:val="24"/>
          <w:szCs w:val="24"/>
        </w:rPr>
        <w:t xml:space="preserve">middle of the </w:t>
      </w:r>
      <w:r w:rsidR="00CB2D1D" w:rsidRPr="009354E7">
        <w:rPr>
          <w:sz w:val="24"/>
          <w:szCs w:val="24"/>
        </w:rPr>
        <w:t xml:space="preserve">upper </w:t>
      </w:r>
      <w:r w:rsidR="00EF6B71" w:rsidRPr="009354E7">
        <w:rPr>
          <w:sz w:val="24"/>
          <w:szCs w:val="24"/>
        </w:rPr>
        <w:t xml:space="preserve">half of the </w:t>
      </w:r>
      <w:r w:rsidR="00866F7E" w:rsidRPr="00865D6C">
        <w:rPr>
          <w:sz w:val="24"/>
          <w:szCs w:val="24"/>
        </w:rPr>
        <w:t xml:space="preserve">range of estimates, </w:t>
      </w:r>
      <w:r w:rsidR="00175EEB" w:rsidRPr="00865D6C">
        <w:rPr>
          <w:sz w:val="24"/>
          <w:szCs w:val="24"/>
        </w:rPr>
        <w:t xml:space="preserve">(2) </w:t>
      </w:r>
      <w:r w:rsidR="00866F7E" w:rsidRPr="00865D6C">
        <w:rPr>
          <w:sz w:val="24"/>
          <w:szCs w:val="24"/>
        </w:rPr>
        <w:t xml:space="preserve">it aligns with recent Staff recommendations, and </w:t>
      </w:r>
      <w:r w:rsidR="00175EEB" w:rsidRPr="00865D6C">
        <w:rPr>
          <w:sz w:val="24"/>
          <w:szCs w:val="24"/>
        </w:rPr>
        <w:t xml:space="preserve">(3) </w:t>
      </w:r>
      <w:r w:rsidR="00866F7E" w:rsidRPr="00865D6C">
        <w:rPr>
          <w:sz w:val="24"/>
          <w:szCs w:val="24"/>
        </w:rPr>
        <w:t xml:space="preserve">it promotes the public interest by balancing the concerns of ratepayers </w:t>
      </w:r>
      <w:r w:rsidR="00175EEB" w:rsidRPr="00865D6C">
        <w:rPr>
          <w:sz w:val="24"/>
          <w:szCs w:val="24"/>
        </w:rPr>
        <w:t xml:space="preserve">with </w:t>
      </w:r>
      <w:r w:rsidR="00866F7E" w:rsidRPr="00865D6C">
        <w:rPr>
          <w:sz w:val="24"/>
          <w:szCs w:val="24"/>
        </w:rPr>
        <w:t>a reasonable opportunity</w:t>
      </w:r>
      <w:r w:rsidR="00F662D5">
        <w:rPr>
          <w:sz w:val="24"/>
          <w:szCs w:val="24"/>
        </w:rPr>
        <w:t xml:space="preserve"> for CEHE</w:t>
      </w:r>
      <w:r w:rsidR="00866F7E" w:rsidRPr="00865D6C">
        <w:rPr>
          <w:sz w:val="24"/>
          <w:szCs w:val="24"/>
        </w:rPr>
        <w:t xml:space="preserve"> to earn a reasonable return on its invested capital. </w:t>
      </w:r>
    </w:p>
    <w:p w14:paraId="26EDED34" w14:textId="5C6857AF" w:rsidR="00866F7E" w:rsidRPr="00866F7E" w:rsidRDefault="00866F7E" w:rsidP="00A96B25">
      <w:pPr>
        <w:spacing w:after="120" w:line="480" w:lineRule="auto"/>
        <w:ind w:left="720" w:firstLine="720"/>
        <w:jc w:val="both"/>
        <w:rPr>
          <w:sz w:val="24"/>
          <w:szCs w:val="24"/>
        </w:rPr>
      </w:pPr>
      <w:r w:rsidRPr="00866F7E">
        <w:rPr>
          <w:sz w:val="24"/>
          <w:szCs w:val="24"/>
        </w:rPr>
        <w:t>Based on my analyses and the foregoing considerations, my overall recommendation of 9.4</w:t>
      </w:r>
      <w:r w:rsidR="006D1FF1">
        <w:rPr>
          <w:sz w:val="24"/>
          <w:szCs w:val="24"/>
        </w:rPr>
        <w:t>5</w:t>
      </w:r>
      <w:r w:rsidRPr="00866F7E">
        <w:rPr>
          <w:sz w:val="24"/>
          <w:szCs w:val="24"/>
        </w:rPr>
        <w:t xml:space="preserve">% is a reasonable estimate of the ROE for the Company and is fully consistent with the requirements of </w:t>
      </w:r>
      <w:r w:rsidRPr="00E61B72">
        <w:rPr>
          <w:i/>
          <w:sz w:val="24"/>
          <w:szCs w:val="24"/>
        </w:rPr>
        <w:t>Hope</w:t>
      </w:r>
      <w:r w:rsidRPr="00866F7E">
        <w:rPr>
          <w:i/>
          <w:sz w:val="24"/>
          <w:szCs w:val="24"/>
        </w:rPr>
        <w:t xml:space="preserve"> </w:t>
      </w:r>
      <w:r w:rsidRPr="00866F7E">
        <w:rPr>
          <w:sz w:val="24"/>
          <w:szCs w:val="24"/>
        </w:rPr>
        <w:t>and</w:t>
      </w:r>
      <w:r w:rsidRPr="00866F7E">
        <w:rPr>
          <w:i/>
          <w:sz w:val="24"/>
          <w:szCs w:val="24"/>
        </w:rPr>
        <w:t xml:space="preserve"> Bluefield</w:t>
      </w:r>
      <w:r w:rsidR="00175EEB">
        <w:rPr>
          <w:sz w:val="24"/>
          <w:szCs w:val="24"/>
        </w:rPr>
        <w:t xml:space="preserve">, which </w:t>
      </w:r>
      <w:r w:rsidRPr="00866F7E">
        <w:rPr>
          <w:sz w:val="24"/>
          <w:szCs w:val="24"/>
        </w:rPr>
        <w:t xml:space="preserve">I referenced </w:t>
      </w:r>
      <w:r w:rsidR="003A1C0E">
        <w:rPr>
          <w:sz w:val="24"/>
          <w:szCs w:val="24"/>
        </w:rPr>
        <w:t xml:space="preserve">in </w:t>
      </w:r>
      <w:r w:rsidR="00984046">
        <w:rPr>
          <w:sz w:val="24"/>
          <w:szCs w:val="24"/>
        </w:rPr>
        <w:t>P</w:t>
      </w:r>
      <w:r w:rsidR="003A1C0E">
        <w:rPr>
          <w:sz w:val="24"/>
          <w:szCs w:val="24"/>
        </w:rPr>
        <w:t xml:space="preserve">art A of this section </w:t>
      </w:r>
      <w:r w:rsidR="00984046">
        <w:rPr>
          <w:sz w:val="24"/>
          <w:szCs w:val="24"/>
        </w:rPr>
        <w:t>of</w:t>
      </w:r>
      <w:r w:rsidRPr="00866F7E">
        <w:rPr>
          <w:sz w:val="24"/>
          <w:szCs w:val="24"/>
        </w:rPr>
        <w:t xml:space="preserve"> my testimony.</w:t>
      </w:r>
    </w:p>
    <w:p w14:paraId="2796F871" w14:textId="34CD6E39" w:rsidR="00AA7AA2" w:rsidRDefault="00161041" w:rsidP="00AC1281">
      <w:pPr>
        <w:pStyle w:val="Heading1"/>
        <w:numPr>
          <w:ilvl w:val="0"/>
          <w:numId w:val="1"/>
        </w:numPr>
        <w:spacing w:line="480" w:lineRule="auto"/>
        <w:jc w:val="both"/>
        <w:rPr>
          <w:sz w:val="24"/>
          <w:szCs w:val="24"/>
        </w:rPr>
      </w:pPr>
      <w:bookmarkStart w:id="23" w:name="_Toc10117673"/>
      <w:r>
        <w:rPr>
          <w:sz w:val="24"/>
          <w:szCs w:val="24"/>
        </w:rPr>
        <w:t>COST OF DEBT</w:t>
      </w:r>
      <w:bookmarkEnd w:id="23"/>
    </w:p>
    <w:p w14:paraId="66E106BF" w14:textId="77777777" w:rsidR="00612A3B" w:rsidRPr="00612A3B" w:rsidRDefault="006A5F0F" w:rsidP="002457D8">
      <w:pPr>
        <w:pStyle w:val="question"/>
      </w:pPr>
      <w:r w:rsidRPr="00612A3B">
        <w:t>Q.</w:t>
      </w:r>
      <w:r w:rsidRPr="00612A3B">
        <w:tab/>
      </w:r>
      <w:r w:rsidR="00E13269" w:rsidRPr="00612A3B">
        <w:t xml:space="preserve"> </w:t>
      </w:r>
      <w:r w:rsidR="00612A3B" w:rsidRPr="00612A3B">
        <w:t>What cost of debt did the Company propose in its Application?</w:t>
      </w:r>
    </w:p>
    <w:p w14:paraId="61CCB3D0" w14:textId="019F0614" w:rsidR="00612A3B" w:rsidRDefault="00327A68" w:rsidP="00F845AC">
      <w:pPr>
        <w:pStyle w:val="answer"/>
        <w:tabs>
          <w:tab w:val="clear" w:pos="-3420"/>
          <w:tab w:val="clear" w:pos="360"/>
          <w:tab w:val="left" w:pos="720"/>
        </w:tabs>
        <w:spacing w:after="120"/>
        <w:ind w:right="0"/>
      </w:pPr>
      <w:r>
        <w:t>A.</w:t>
      </w:r>
      <w:r>
        <w:tab/>
        <w:t>I</w:t>
      </w:r>
      <w:r w:rsidR="001B3AE0">
        <w:t>n</w:t>
      </w:r>
      <w:r>
        <w:t xml:space="preserve"> its Application, </w:t>
      </w:r>
      <w:r w:rsidR="007D5E22">
        <w:t>CEHE</w:t>
      </w:r>
      <w:r w:rsidR="00612A3B">
        <w:t xml:space="preserve"> requested a </w:t>
      </w:r>
      <w:bookmarkStart w:id="24" w:name="OLE_LINK3"/>
      <w:r w:rsidR="00612A3B">
        <w:t xml:space="preserve">cost of debt of </w:t>
      </w:r>
      <w:r w:rsidR="004A56E2">
        <w:t>4.</w:t>
      </w:r>
      <w:r w:rsidR="00641694">
        <w:t>38</w:t>
      </w:r>
      <w:r w:rsidR="00612A3B">
        <w:t>%</w:t>
      </w:r>
      <w:bookmarkEnd w:id="24"/>
      <w:r w:rsidR="008463E1">
        <w:t xml:space="preserve">, which was its cost of debt as of the end of </w:t>
      </w:r>
      <w:r w:rsidR="003C5679">
        <w:t xml:space="preserve">the </w:t>
      </w:r>
      <w:r w:rsidR="003459AB">
        <w:t xml:space="preserve">2018 </w:t>
      </w:r>
      <w:r w:rsidR="00612A3B">
        <w:t>test year.</w:t>
      </w:r>
      <w:r w:rsidR="00612A3B">
        <w:rPr>
          <w:rStyle w:val="FootnoteReference"/>
        </w:rPr>
        <w:footnoteReference w:id="23"/>
      </w:r>
    </w:p>
    <w:p w14:paraId="54BEE7F2" w14:textId="4335AB6A" w:rsidR="0058118C" w:rsidRDefault="0058118C" w:rsidP="0058118C">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Pr>
          <w:rFonts w:ascii="Times New Roman" w:hAnsi="Times New Roman"/>
          <w:b/>
          <w:sz w:val="24"/>
          <w:szCs w:val="24"/>
        </w:rPr>
        <w:t>Have you used this Company-</w:t>
      </w:r>
      <w:r w:rsidR="007471C5">
        <w:rPr>
          <w:rFonts w:ascii="Times New Roman" w:hAnsi="Times New Roman"/>
          <w:b/>
          <w:sz w:val="24"/>
          <w:szCs w:val="24"/>
        </w:rPr>
        <w:t xml:space="preserve">requested </w:t>
      </w:r>
      <w:r>
        <w:rPr>
          <w:rFonts w:ascii="Times New Roman" w:hAnsi="Times New Roman"/>
          <w:b/>
          <w:sz w:val="24"/>
          <w:szCs w:val="24"/>
        </w:rPr>
        <w:t>cost of debt to estimate your proposed overall rate of return?</w:t>
      </w:r>
    </w:p>
    <w:p w14:paraId="3AD51FAF" w14:textId="76C21000" w:rsidR="0058118C" w:rsidRPr="00FF7CA4" w:rsidRDefault="0058118C" w:rsidP="0058118C">
      <w:pPr>
        <w:pStyle w:val="PlainText"/>
        <w:tabs>
          <w:tab w:val="left" w:pos="720"/>
          <w:tab w:val="left" w:pos="1080"/>
        </w:tabs>
        <w:spacing w:after="120" w:line="480" w:lineRule="auto"/>
        <w:ind w:left="720" w:hanging="720"/>
        <w:jc w:val="both"/>
        <w:rPr>
          <w:rFonts w:ascii="Times New Roman" w:hAnsi="Times New Roman"/>
          <w:sz w:val="24"/>
          <w:szCs w:val="24"/>
        </w:rPr>
      </w:pPr>
      <w:r w:rsidRPr="00FF7CA4">
        <w:rPr>
          <w:rFonts w:ascii="Times New Roman" w:hAnsi="Times New Roman"/>
          <w:sz w:val="24"/>
          <w:szCs w:val="24"/>
        </w:rPr>
        <w:t>A.</w:t>
      </w:r>
      <w:r w:rsidRPr="00FF7CA4">
        <w:rPr>
          <w:rFonts w:ascii="Times New Roman" w:hAnsi="Times New Roman"/>
          <w:sz w:val="24"/>
          <w:szCs w:val="24"/>
        </w:rPr>
        <w:tab/>
      </w:r>
      <w:r>
        <w:rPr>
          <w:rFonts w:ascii="Times New Roman" w:hAnsi="Times New Roman"/>
          <w:sz w:val="24"/>
          <w:szCs w:val="24"/>
        </w:rPr>
        <w:t>Yes, I have used the Company-</w:t>
      </w:r>
      <w:r w:rsidR="00C25655">
        <w:rPr>
          <w:rFonts w:ascii="Times New Roman" w:hAnsi="Times New Roman"/>
          <w:sz w:val="24"/>
          <w:szCs w:val="24"/>
        </w:rPr>
        <w:t xml:space="preserve">requested </w:t>
      </w:r>
      <w:r w:rsidRPr="0058118C">
        <w:rPr>
          <w:rFonts w:ascii="Times New Roman" w:hAnsi="Times New Roman"/>
          <w:sz w:val="24"/>
          <w:szCs w:val="24"/>
        </w:rPr>
        <w:t>cost of debt of 4.38%</w:t>
      </w:r>
      <w:r>
        <w:rPr>
          <w:rFonts w:ascii="Times New Roman" w:hAnsi="Times New Roman"/>
          <w:sz w:val="24"/>
          <w:szCs w:val="24"/>
        </w:rPr>
        <w:t xml:space="preserve"> in my proposed overall rate of return</w:t>
      </w:r>
      <w:r w:rsidR="00A672B3">
        <w:rPr>
          <w:rFonts w:ascii="Times New Roman" w:hAnsi="Times New Roman"/>
          <w:sz w:val="24"/>
          <w:szCs w:val="24"/>
        </w:rPr>
        <w:t xml:space="preserve">. </w:t>
      </w:r>
      <w:r w:rsidR="00C83DFD">
        <w:rPr>
          <w:rFonts w:ascii="Times New Roman" w:hAnsi="Times New Roman"/>
          <w:sz w:val="24"/>
          <w:szCs w:val="24"/>
        </w:rPr>
        <w:t xml:space="preserve"> </w:t>
      </w:r>
      <w:r>
        <w:rPr>
          <w:rFonts w:ascii="Times New Roman" w:hAnsi="Times New Roman"/>
          <w:sz w:val="24"/>
          <w:szCs w:val="24"/>
        </w:rPr>
        <w:t xml:space="preserve">I will describe </w:t>
      </w:r>
      <w:r w:rsidR="00220DB8">
        <w:rPr>
          <w:rFonts w:ascii="Times New Roman" w:hAnsi="Times New Roman"/>
          <w:sz w:val="24"/>
          <w:szCs w:val="24"/>
        </w:rPr>
        <w:t xml:space="preserve">the proposed </w:t>
      </w:r>
      <w:r w:rsidR="00A672B3">
        <w:rPr>
          <w:rFonts w:ascii="Times New Roman" w:hAnsi="Times New Roman"/>
          <w:sz w:val="24"/>
          <w:szCs w:val="24"/>
        </w:rPr>
        <w:t xml:space="preserve">rate of return </w:t>
      </w:r>
      <w:r w:rsidR="007B5249">
        <w:rPr>
          <w:rFonts w:ascii="Times New Roman" w:hAnsi="Times New Roman"/>
          <w:sz w:val="24"/>
          <w:szCs w:val="24"/>
        </w:rPr>
        <w:t>in Section VIII of my testimony</w:t>
      </w:r>
      <w:r w:rsidRPr="00FF7CA4">
        <w:rPr>
          <w:rFonts w:ascii="Times New Roman" w:hAnsi="Times New Roman"/>
          <w:sz w:val="24"/>
          <w:szCs w:val="24"/>
        </w:rPr>
        <w:t>.</w:t>
      </w:r>
    </w:p>
    <w:p w14:paraId="38916145" w14:textId="0A588464" w:rsidR="00843201" w:rsidRDefault="00161041" w:rsidP="00A270D3">
      <w:pPr>
        <w:pStyle w:val="Heading1"/>
        <w:numPr>
          <w:ilvl w:val="0"/>
          <w:numId w:val="1"/>
        </w:numPr>
        <w:spacing w:line="480" w:lineRule="auto"/>
        <w:jc w:val="both"/>
        <w:rPr>
          <w:sz w:val="24"/>
          <w:szCs w:val="24"/>
        </w:rPr>
      </w:pPr>
      <w:bookmarkStart w:id="25" w:name="_Toc10117674"/>
      <w:r>
        <w:rPr>
          <w:sz w:val="24"/>
          <w:szCs w:val="24"/>
        </w:rPr>
        <w:t>CAPITAL STRUCTURE</w:t>
      </w:r>
      <w:bookmarkEnd w:id="25"/>
    </w:p>
    <w:p w14:paraId="6EC5E534" w14:textId="05CB39FC" w:rsidR="005D5EE6" w:rsidRPr="0088510E" w:rsidRDefault="005D5EE6" w:rsidP="00764E79">
      <w:pPr>
        <w:pStyle w:val="question"/>
      </w:pPr>
      <w:r>
        <w:t>Q.</w:t>
      </w:r>
      <w:r>
        <w:tab/>
        <w:t xml:space="preserve">What capital structure did the Company </w:t>
      </w:r>
      <w:r w:rsidR="00B43D97">
        <w:t>request</w:t>
      </w:r>
      <w:r>
        <w:t xml:space="preserve"> in its Application?</w:t>
      </w:r>
    </w:p>
    <w:p w14:paraId="39BA48CB" w14:textId="5C34AA1D" w:rsidR="00843201" w:rsidRPr="005D5EE6" w:rsidRDefault="005D5EE6" w:rsidP="00764E79">
      <w:pPr>
        <w:pStyle w:val="answer"/>
        <w:tabs>
          <w:tab w:val="clear" w:pos="-3420"/>
          <w:tab w:val="clear" w:pos="360"/>
          <w:tab w:val="left" w:pos="720"/>
        </w:tabs>
        <w:spacing w:after="120"/>
        <w:ind w:right="0"/>
        <w:rPr>
          <w:strike/>
        </w:rPr>
      </w:pPr>
      <w:r>
        <w:t>A.</w:t>
      </w:r>
      <w:r>
        <w:tab/>
        <w:t>I</w:t>
      </w:r>
      <w:r w:rsidR="001B3AE0">
        <w:t>n</w:t>
      </w:r>
      <w:r>
        <w:t xml:space="preserve"> its Application, </w:t>
      </w:r>
      <w:r w:rsidR="00577E81">
        <w:t xml:space="preserve">CEHE </w:t>
      </w:r>
      <w:r>
        <w:t>requested a capi</w:t>
      </w:r>
      <w:r w:rsidR="00764E79">
        <w:t>tal structure consisting of 50</w:t>
      </w:r>
      <w:r>
        <w:t xml:space="preserve">% </w:t>
      </w:r>
      <w:r w:rsidR="00577E81">
        <w:t>long-term debt</w:t>
      </w:r>
      <w:r w:rsidR="00705587">
        <w:t xml:space="preserve"> and </w:t>
      </w:r>
      <w:r w:rsidR="00063460">
        <w:t xml:space="preserve">50% </w:t>
      </w:r>
      <w:r w:rsidR="00705587">
        <w:t xml:space="preserve">common </w:t>
      </w:r>
      <w:r w:rsidR="00577E81">
        <w:t>equity</w:t>
      </w:r>
      <w:r>
        <w:t xml:space="preserve"> for the purpose of establishing rates.</w:t>
      </w:r>
      <w:r>
        <w:rPr>
          <w:rStyle w:val="FootnoteReference"/>
        </w:rPr>
        <w:footnoteReference w:id="24"/>
      </w:r>
    </w:p>
    <w:p w14:paraId="5E18853F" w14:textId="1539A9D2" w:rsidR="00A4249A" w:rsidRPr="0088510E" w:rsidRDefault="00A4249A" w:rsidP="00A4249A">
      <w:pPr>
        <w:pStyle w:val="question"/>
      </w:pPr>
      <w:r>
        <w:t>Q.</w:t>
      </w:r>
      <w:r>
        <w:tab/>
      </w:r>
      <w:r w:rsidR="00EC6803">
        <w:t>What arguments d</w:t>
      </w:r>
      <w:r>
        <w:t xml:space="preserve">id </w:t>
      </w:r>
      <w:r w:rsidR="00AB7004">
        <w:t>CEHE</w:t>
      </w:r>
      <w:r>
        <w:t xml:space="preserve"> </w:t>
      </w:r>
      <w:r w:rsidR="00EC6803">
        <w:t xml:space="preserve">present to support its requested capital </w:t>
      </w:r>
      <w:r>
        <w:t>structure?</w:t>
      </w:r>
    </w:p>
    <w:p w14:paraId="3CB47EF8" w14:textId="459E2139" w:rsidR="00440622" w:rsidRDefault="00A4249A" w:rsidP="00764E79">
      <w:pPr>
        <w:pStyle w:val="answer"/>
        <w:tabs>
          <w:tab w:val="clear" w:pos="-3420"/>
          <w:tab w:val="clear" w:pos="360"/>
          <w:tab w:val="left" w:pos="720"/>
        </w:tabs>
        <w:spacing w:after="120"/>
        <w:ind w:right="0"/>
      </w:pPr>
      <w:r>
        <w:t>A.</w:t>
      </w:r>
      <w:r>
        <w:tab/>
      </w:r>
      <w:r w:rsidR="00440622">
        <w:t xml:space="preserve">CEHE </w:t>
      </w:r>
      <w:r w:rsidR="00F82909">
        <w:t>presented three arguments</w:t>
      </w:r>
      <w:r w:rsidR="00F254D1">
        <w:t>:</w:t>
      </w:r>
      <w:bookmarkStart w:id="26" w:name="OLE_LINK4"/>
      <w:r w:rsidR="00F254D1">
        <w:rPr>
          <w:rStyle w:val="FootnoteReference"/>
        </w:rPr>
        <w:footnoteReference w:id="25"/>
      </w:r>
      <w:r w:rsidR="00F254D1">
        <w:t xml:space="preserve"> </w:t>
      </w:r>
      <w:bookmarkEnd w:id="26"/>
    </w:p>
    <w:p w14:paraId="35CDBB53" w14:textId="1A894276" w:rsidR="00447F07" w:rsidRPr="00F254D1" w:rsidRDefault="00F254D1" w:rsidP="00F254D1">
      <w:pPr>
        <w:pStyle w:val="answer"/>
        <w:tabs>
          <w:tab w:val="clear" w:pos="-3420"/>
          <w:tab w:val="left" w:pos="720"/>
        </w:tabs>
        <w:spacing w:after="120"/>
        <w:ind w:left="1440" w:firstLine="0"/>
      </w:pPr>
      <w:r w:rsidRPr="00F254D1">
        <w:t>1. CEHE’s exposure to business and regulatory risks;</w:t>
      </w:r>
    </w:p>
    <w:p w14:paraId="6BFFE3FE" w14:textId="735CF244" w:rsidR="00F254D1" w:rsidRPr="00F254D1" w:rsidRDefault="00F254D1" w:rsidP="00F254D1">
      <w:pPr>
        <w:pStyle w:val="answer"/>
        <w:tabs>
          <w:tab w:val="clear" w:pos="-3420"/>
          <w:tab w:val="left" w:pos="720"/>
        </w:tabs>
        <w:spacing w:after="120"/>
        <w:ind w:left="1440" w:firstLine="0"/>
      </w:pPr>
      <w:r w:rsidRPr="00F254D1">
        <w:t xml:space="preserve">2. CEHE’s need for a capital structure that supports an A- </w:t>
      </w:r>
      <w:r w:rsidR="00CC140C">
        <w:t>i</w:t>
      </w:r>
      <w:r w:rsidRPr="00F254D1">
        <w:t xml:space="preserve">ssuer </w:t>
      </w:r>
      <w:r w:rsidR="00CC140C">
        <w:t>r</w:t>
      </w:r>
      <w:r w:rsidRPr="00F254D1">
        <w:t>ating; and</w:t>
      </w:r>
    </w:p>
    <w:p w14:paraId="3A8755E9" w14:textId="466A438E" w:rsidR="00843201" w:rsidRDefault="00F713EE" w:rsidP="00F254D1">
      <w:pPr>
        <w:pStyle w:val="answer"/>
        <w:tabs>
          <w:tab w:val="clear" w:pos="-3420"/>
          <w:tab w:val="clear" w:pos="360"/>
          <w:tab w:val="left" w:pos="720"/>
        </w:tabs>
        <w:spacing w:after="120"/>
        <w:ind w:left="1440" w:right="0" w:firstLine="0"/>
      </w:pPr>
      <w:r>
        <w:t xml:space="preserve">3. </w:t>
      </w:r>
      <w:r w:rsidR="00CC140C">
        <w:t>The c</w:t>
      </w:r>
      <w:r>
        <w:t>apital structure of comparable companies.</w:t>
      </w:r>
    </w:p>
    <w:p w14:paraId="52B2DE7A" w14:textId="77777777" w:rsidR="00D70324" w:rsidRPr="00F254D1" w:rsidRDefault="00D70324" w:rsidP="00F254D1">
      <w:pPr>
        <w:pStyle w:val="answer"/>
        <w:tabs>
          <w:tab w:val="clear" w:pos="-3420"/>
          <w:tab w:val="clear" w:pos="360"/>
          <w:tab w:val="left" w:pos="720"/>
        </w:tabs>
        <w:spacing w:after="120"/>
        <w:ind w:left="1440" w:right="0" w:firstLine="0"/>
      </w:pPr>
    </w:p>
    <w:p w14:paraId="5BC511BC" w14:textId="45A1E2D0" w:rsidR="00F254D1" w:rsidRDefault="00F254D1" w:rsidP="00F254D1">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Pr>
          <w:rFonts w:ascii="Times New Roman" w:hAnsi="Times New Roman"/>
          <w:b/>
          <w:sz w:val="24"/>
          <w:szCs w:val="24"/>
        </w:rPr>
        <w:t xml:space="preserve">Please address the first </w:t>
      </w:r>
      <w:r w:rsidR="00836B07">
        <w:rPr>
          <w:rFonts w:ascii="Times New Roman" w:hAnsi="Times New Roman"/>
          <w:b/>
          <w:sz w:val="24"/>
          <w:szCs w:val="24"/>
        </w:rPr>
        <w:t>argument</w:t>
      </w:r>
      <w:r w:rsidR="00F713EE">
        <w:rPr>
          <w:rFonts w:ascii="Times New Roman" w:hAnsi="Times New Roman"/>
          <w:b/>
          <w:sz w:val="24"/>
          <w:szCs w:val="24"/>
        </w:rPr>
        <w:t xml:space="preserve"> (i.e., CEHE’s exposure to business and regulatory risks)</w:t>
      </w:r>
      <w:r w:rsidR="00210CE9">
        <w:rPr>
          <w:rFonts w:ascii="Times New Roman" w:hAnsi="Times New Roman"/>
          <w:b/>
          <w:sz w:val="24"/>
          <w:szCs w:val="24"/>
        </w:rPr>
        <w:t>.</w:t>
      </w:r>
    </w:p>
    <w:p w14:paraId="32464DD0" w14:textId="2810A940" w:rsidR="00F254D1" w:rsidRDefault="00F254D1" w:rsidP="00F254D1">
      <w:pPr>
        <w:pStyle w:val="PlainText"/>
        <w:tabs>
          <w:tab w:val="left" w:pos="720"/>
          <w:tab w:val="left" w:pos="1080"/>
        </w:tabs>
        <w:spacing w:after="120" w:line="480" w:lineRule="auto"/>
        <w:ind w:left="720" w:hanging="720"/>
        <w:jc w:val="both"/>
        <w:rPr>
          <w:rFonts w:ascii="Times New Roman" w:hAnsi="Times New Roman"/>
          <w:sz w:val="24"/>
          <w:szCs w:val="24"/>
        </w:rPr>
      </w:pPr>
      <w:r w:rsidRPr="00FF7CA4">
        <w:rPr>
          <w:rFonts w:ascii="Times New Roman" w:hAnsi="Times New Roman"/>
          <w:sz w:val="24"/>
          <w:szCs w:val="24"/>
        </w:rPr>
        <w:t>A.</w:t>
      </w:r>
      <w:r w:rsidRPr="00FF7CA4">
        <w:rPr>
          <w:rFonts w:ascii="Times New Roman" w:hAnsi="Times New Roman"/>
          <w:sz w:val="24"/>
          <w:szCs w:val="24"/>
        </w:rPr>
        <w:tab/>
      </w:r>
      <w:r>
        <w:rPr>
          <w:rFonts w:ascii="Times New Roman" w:hAnsi="Times New Roman"/>
          <w:sz w:val="24"/>
          <w:szCs w:val="24"/>
        </w:rPr>
        <w:t xml:space="preserve">CEHE </w:t>
      </w:r>
      <w:r w:rsidR="00F713EE">
        <w:rPr>
          <w:rFonts w:ascii="Times New Roman" w:hAnsi="Times New Roman"/>
          <w:sz w:val="24"/>
          <w:szCs w:val="24"/>
        </w:rPr>
        <w:t>i</w:t>
      </w:r>
      <w:r w:rsidR="00210CE9">
        <w:rPr>
          <w:rFonts w:ascii="Times New Roman" w:hAnsi="Times New Roman"/>
          <w:sz w:val="24"/>
          <w:szCs w:val="24"/>
        </w:rPr>
        <w:t xml:space="preserve">dentified </w:t>
      </w:r>
      <w:r w:rsidR="00F713EE">
        <w:rPr>
          <w:rFonts w:ascii="Times New Roman" w:hAnsi="Times New Roman"/>
          <w:sz w:val="24"/>
          <w:szCs w:val="24"/>
        </w:rPr>
        <w:t xml:space="preserve">the following </w:t>
      </w:r>
      <w:r w:rsidR="00491736">
        <w:rPr>
          <w:rFonts w:ascii="Times New Roman" w:hAnsi="Times New Roman"/>
          <w:sz w:val="24"/>
          <w:szCs w:val="24"/>
        </w:rPr>
        <w:t xml:space="preserve">four </w:t>
      </w:r>
      <w:r w:rsidR="00F713EE">
        <w:rPr>
          <w:rFonts w:ascii="Times New Roman" w:hAnsi="Times New Roman"/>
          <w:sz w:val="24"/>
          <w:szCs w:val="24"/>
        </w:rPr>
        <w:t>business and regulatory risks:</w:t>
      </w:r>
      <w:r w:rsidR="00836B07">
        <w:rPr>
          <w:rFonts w:ascii="Times New Roman" w:hAnsi="Times New Roman"/>
          <w:sz w:val="24"/>
          <w:szCs w:val="24"/>
        </w:rPr>
        <w:t xml:space="preserve"> </w:t>
      </w:r>
      <w:r w:rsidR="00F713EE">
        <w:rPr>
          <w:rFonts w:ascii="Times New Roman" w:hAnsi="Times New Roman"/>
          <w:sz w:val="24"/>
          <w:szCs w:val="24"/>
        </w:rPr>
        <w:t xml:space="preserve"> elevated capital expenditures</w:t>
      </w:r>
      <w:r w:rsidR="00C23A2B">
        <w:rPr>
          <w:rFonts w:ascii="Times New Roman" w:hAnsi="Times New Roman"/>
          <w:sz w:val="24"/>
          <w:szCs w:val="24"/>
        </w:rPr>
        <w:t xml:space="preserve"> risk</w:t>
      </w:r>
      <w:r w:rsidR="00F713EE">
        <w:rPr>
          <w:rFonts w:ascii="Times New Roman" w:hAnsi="Times New Roman"/>
          <w:sz w:val="24"/>
          <w:szCs w:val="24"/>
        </w:rPr>
        <w:t xml:space="preserve">, risk </w:t>
      </w:r>
      <w:r w:rsidR="0077417B">
        <w:rPr>
          <w:rFonts w:ascii="Times New Roman" w:hAnsi="Times New Roman"/>
          <w:sz w:val="24"/>
          <w:szCs w:val="24"/>
        </w:rPr>
        <w:t xml:space="preserve">posed </w:t>
      </w:r>
      <w:r w:rsidR="00F713EE">
        <w:rPr>
          <w:rFonts w:ascii="Times New Roman" w:hAnsi="Times New Roman"/>
          <w:sz w:val="24"/>
          <w:szCs w:val="24"/>
        </w:rPr>
        <w:t xml:space="preserve">by the </w:t>
      </w:r>
      <w:r w:rsidR="00A77C20" w:rsidRPr="00A77C20">
        <w:rPr>
          <w:rFonts w:ascii="Times New Roman" w:hAnsi="Times New Roman"/>
          <w:sz w:val="24"/>
          <w:szCs w:val="24"/>
        </w:rPr>
        <w:t>Tax Cuts and Jobs Act of 2017 (TCJA</w:t>
      </w:r>
      <w:r w:rsidR="00A77C20">
        <w:rPr>
          <w:rFonts w:ascii="Times New Roman" w:hAnsi="Times New Roman"/>
          <w:sz w:val="24"/>
          <w:szCs w:val="24"/>
        </w:rPr>
        <w:t>)</w:t>
      </w:r>
      <w:r w:rsidR="00F713EE">
        <w:rPr>
          <w:rFonts w:ascii="Times New Roman" w:hAnsi="Times New Roman"/>
          <w:sz w:val="24"/>
          <w:szCs w:val="24"/>
        </w:rPr>
        <w:t>, risk of catastrophic damage from hurricanes, and regulatory risks.</w:t>
      </w:r>
    </w:p>
    <w:p w14:paraId="54FED676" w14:textId="7F8F8436" w:rsidR="009C3F51" w:rsidRDefault="009C3F51" w:rsidP="009C3F51">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Pr>
          <w:rFonts w:ascii="Times New Roman" w:hAnsi="Times New Roman"/>
          <w:b/>
          <w:sz w:val="24"/>
          <w:szCs w:val="24"/>
        </w:rPr>
        <w:t xml:space="preserve">What </w:t>
      </w:r>
      <w:r w:rsidR="00210CE9">
        <w:rPr>
          <w:rFonts w:ascii="Times New Roman" w:hAnsi="Times New Roman"/>
          <w:b/>
          <w:sz w:val="24"/>
          <w:szCs w:val="24"/>
        </w:rPr>
        <w:t>is your reaction to</w:t>
      </w:r>
      <w:r w:rsidR="004C6A2A">
        <w:rPr>
          <w:rFonts w:ascii="Times New Roman" w:hAnsi="Times New Roman"/>
          <w:b/>
          <w:sz w:val="24"/>
          <w:szCs w:val="24"/>
        </w:rPr>
        <w:t xml:space="preserve"> the aspects of </w:t>
      </w:r>
      <w:r w:rsidR="00C23A2B">
        <w:rPr>
          <w:rFonts w:ascii="Times New Roman" w:hAnsi="Times New Roman"/>
          <w:b/>
          <w:sz w:val="24"/>
          <w:szCs w:val="24"/>
        </w:rPr>
        <w:t>elev</w:t>
      </w:r>
      <w:r w:rsidR="007F489E">
        <w:rPr>
          <w:rFonts w:ascii="Times New Roman" w:hAnsi="Times New Roman"/>
          <w:b/>
          <w:sz w:val="24"/>
          <w:szCs w:val="24"/>
        </w:rPr>
        <w:t xml:space="preserve">ated </w:t>
      </w:r>
      <w:r w:rsidR="00C23A2B">
        <w:rPr>
          <w:rFonts w:ascii="Times New Roman" w:hAnsi="Times New Roman"/>
          <w:b/>
          <w:sz w:val="24"/>
          <w:szCs w:val="24"/>
        </w:rPr>
        <w:t xml:space="preserve">capital expenditures risk and </w:t>
      </w:r>
      <w:r w:rsidR="00607284" w:rsidRPr="00607284">
        <w:rPr>
          <w:rFonts w:ascii="Times New Roman" w:hAnsi="Times New Roman"/>
          <w:b/>
          <w:sz w:val="24"/>
          <w:szCs w:val="24"/>
        </w:rPr>
        <w:t>TCJA</w:t>
      </w:r>
      <w:r w:rsidR="00DE2C79">
        <w:rPr>
          <w:rFonts w:ascii="Times New Roman" w:hAnsi="Times New Roman"/>
          <w:b/>
          <w:sz w:val="24"/>
          <w:szCs w:val="24"/>
        </w:rPr>
        <w:t xml:space="preserve"> risk</w:t>
      </w:r>
      <w:r w:rsidR="007F489E">
        <w:rPr>
          <w:rFonts w:ascii="Times New Roman" w:hAnsi="Times New Roman"/>
          <w:b/>
          <w:sz w:val="24"/>
          <w:szCs w:val="24"/>
        </w:rPr>
        <w:t xml:space="preserve"> </w:t>
      </w:r>
      <w:r w:rsidR="00491736">
        <w:rPr>
          <w:rFonts w:ascii="Times New Roman" w:hAnsi="Times New Roman"/>
          <w:b/>
          <w:sz w:val="24"/>
          <w:szCs w:val="24"/>
        </w:rPr>
        <w:t xml:space="preserve">referenced </w:t>
      </w:r>
      <w:r w:rsidR="00F74DB7">
        <w:rPr>
          <w:rFonts w:ascii="Times New Roman" w:hAnsi="Times New Roman"/>
          <w:b/>
          <w:sz w:val="24"/>
          <w:szCs w:val="24"/>
        </w:rPr>
        <w:t xml:space="preserve">in </w:t>
      </w:r>
      <w:r w:rsidR="007F489E">
        <w:rPr>
          <w:rFonts w:ascii="Times New Roman" w:hAnsi="Times New Roman"/>
          <w:b/>
          <w:sz w:val="24"/>
          <w:szCs w:val="24"/>
        </w:rPr>
        <w:t>CEHE’s first argument</w:t>
      </w:r>
      <w:r>
        <w:rPr>
          <w:rFonts w:ascii="Times New Roman" w:hAnsi="Times New Roman"/>
          <w:b/>
          <w:sz w:val="24"/>
          <w:szCs w:val="24"/>
        </w:rPr>
        <w:t>?</w:t>
      </w:r>
    </w:p>
    <w:p w14:paraId="10D7BD7E" w14:textId="4D7FBD91" w:rsidR="0028786B" w:rsidRDefault="009C3F51" w:rsidP="009C3F51">
      <w:pPr>
        <w:pStyle w:val="PlainText"/>
        <w:tabs>
          <w:tab w:val="left" w:pos="720"/>
          <w:tab w:val="left" w:pos="1080"/>
        </w:tabs>
        <w:spacing w:after="120" w:line="480" w:lineRule="auto"/>
        <w:ind w:left="720" w:hanging="720"/>
        <w:jc w:val="both"/>
        <w:rPr>
          <w:rFonts w:ascii="Times New Roman" w:hAnsi="Times New Roman"/>
          <w:sz w:val="24"/>
          <w:szCs w:val="24"/>
        </w:rPr>
      </w:pPr>
      <w:r w:rsidRPr="00FF7CA4">
        <w:rPr>
          <w:rFonts w:ascii="Times New Roman" w:hAnsi="Times New Roman"/>
          <w:sz w:val="24"/>
          <w:szCs w:val="24"/>
        </w:rPr>
        <w:t>A.</w:t>
      </w:r>
      <w:r w:rsidRPr="00FF7CA4">
        <w:rPr>
          <w:rFonts w:ascii="Times New Roman" w:hAnsi="Times New Roman"/>
          <w:sz w:val="24"/>
          <w:szCs w:val="24"/>
        </w:rPr>
        <w:tab/>
      </w:r>
      <w:r w:rsidR="0028786B">
        <w:rPr>
          <w:rFonts w:ascii="Times New Roman" w:hAnsi="Times New Roman"/>
          <w:sz w:val="24"/>
          <w:szCs w:val="24"/>
        </w:rPr>
        <w:t>Any risk associated with the timely recovery of transmission and capital expenditures is mitigated by two mechanisms:</w:t>
      </w:r>
      <w:r w:rsidR="00DE0730">
        <w:rPr>
          <w:rFonts w:ascii="Times New Roman" w:hAnsi="Times New Roman"/>
          <w:sz w:val="24"/>
          <w:szCs w:val="24"/>
        </w:rPr>
        <w:t xml:space="preserve"> </w:t>
      </w:r>
      <w:r w:rsidR="0028786B">
        <w:rPr>
          <w:rFonts w:ascii="Times New Roman" w:hAnsi="Times New Roman"/>
          <w:sz w:val="24"/>
          <w:szCs w:val="24"/>
        </w:rPr>
        <w:t xml:space="preserve"> (1) </w:t>
      </w:r>
      <w:r w:rsidR="004111EF">
        <w:rPr>
          <w:rFonts w:ascii="Times New Roman" w:hAnsi="Times New Roman"/>
          <w:sz w:val="24"/>
          <w:szCs w:val="24"/>
        </w:rPr>
        <w:t xml:space="preserve">the </w:t>
      </w:r>
      <w:r w:rsidR="0028786B">
        <w:rPr>
          <w:rFonts w:ascii="Times New Roman" w:hAnsi="Times New Roman"/>
          <w:sz w:val="24"/>
          <w:szCs w:val="24"/>
        </w:rPr>
        <w:t>i</w:t>
      </w:r>
      <w:r w:rsidR="0028786B" w:rsidRPr="0028786B">
        <w:rPr>
          <w:rFonts w:ascii="Times New Roman" w:hAnsi="Times New Roman"/>
          <w:sz w:val="24"/>
          <w:szCs w:val="24"/>
        </w:rPr>
        <w:t xml:space="preserve">nterim transmission cost of service </w:t>
      </w:r>
      <w:r w:rsidR="004111EF">
        <w:rPr>
          <w:rFonts w:ascii="Times New Roman" w:hAnsi="Times New Roman"/>
          <w:sz w:val="24"/>
          <w:szCs w:val="24"/>
        </w:rPr>
        <w:t xml:space="preserve">(Interim TCOS) </w:t>
      </w:r>
      <w:r w:rsidR="0028786B">
        <w:rPr>
          <w:rFonts w:ascii="Times New Roman" w:hAnsi="Times New Roman"/>
          <w:sz w:val="24"/>
          <w:szCs w:val="24"/>
        </w:rPr>
        <w:t xml:space="preserve">mechanism, and (2) </w:t>
      </w:r>
      <w:r w:rsidR="004111EF">
        <w:rPr>
          <w:rFonts w:ascii="Times New Roman" w:hAnsi="Times New Roman"/>
          <w:sz w:val="24"/>
          <w:szCs w:val="24"/>
        </w:rPr>
        <w:t xml:space="preserve">the </w:t>
      </w:r>
      <w:r w:rsidR="0025755D">
        <w:rPr>
          <w:rFonts w:ascii="Times New Roman" w:hAnsi="Times New Roman"/>
          <w:sz w:val="24"/>
          <w:szCs w:val="24"/>
        </w:rPr>
        <w:t>d</w:t>
      </w:r>
      <w:r w:rsidR="0028786B" w:rsidRPr="0028786B">
        <w:rPr>
          <w:rFonts w:ascii="Times New Roman" w:hAnsi="Times New Roman"/>
          <w:sz w:val="24"/>
          <w:szCs w:val="24"/>
        </w:rPr>
        <w:t>istribution cost recovery factor (DCRF</w:t>
      </w:r>
      <w:r w:rsidR="0028786B">
        <w:rPr>
          <w:rFonts w:ascii="Times New Roman" w:hAnsi="Times New Roman"/>
          <w:sz w:val="24"/>
          <w:szCs w:val="24"/>
        </w:rPr>
        <w:t>)</w:t>
      </w:r>
      <w:r w:rsidR="004111EF">
        <w:rPr>
          <w:rFonts w:ascii="Times New Roman" w:hAnsi="Times New Roman"/>
          <w:sz w:val="24"/>
          <w:szCs w:val="24"/>
        </w:rPr>
        <w:t xml:space="preserve"> mechanism</w:t>
      </w:r>
      <w:r w:rsidR="0028786B">
        <w:rPr>
          <w:rFonts w:ascii="Times New Roman" w:hAnsi="Times New Roman"/>
          <w:sz w:val="24"/>
          <w:szCs w:val="24"/>
        </w:rPr>
        <w:t xml:space="preserve">. </w:t>
      </w:r>
    </w:p>
    <w:p w14:paraId="0449F342" w14:textId="503EA8BB" w:rsidR="0028786B" w:rsidRDefault="0028786B" w:rsidP="00FF1473">
      <w:pPr>
        <w:pStyle w:val="PlainText"/>
        <w:tabs>
          <w:tab w:val="left" w:pos="720"/>
          <w:tab w:val="left" w:pos="1080"/>
        </w:tabs>
        <w:spacing w:after="120" w:line="480" w:lineRule="auto"/>
        <w:ind w:left="720" w:hanging="7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The Interim TCOS mechanism </w:t>
      </w:r>
      <w:r w:rsidRPr="0028786B">
        <w:rPr>
          <w:rFonts w:ascii="Times New Roman" w:hAnsi="Times New Roman"/>
          <w:sz w:val="24"/>
          <w:szCs w:val="24"/>
        </w:rPr>
        <w:t>allows electric transmission service pr</w:t>
      </w:r>
      <w:r w:rsidR="0080660B">
        <w:rPr>
          <w:rFonts w:ascii="Times New Roman" w:hAnsi="Times New Roman"/>
          <w:sz w:val="24"/>
          <w:szCs w:val="24"/>
        </w:rPr>
        <w:t>o</w:t>
      </w:r>
      <w:r w:rsidRPr="0028786B">
        <w:rPr>
          <w:rFonts w:ascii="Times New Roman" w:hAnsi="Times New Roman"/>
          <w:sz w:val="24"/>
          <w:szCs w:val="24"/>
        </w:rPr>
        <w:t>viders to update their wholesale transmission</w:t>
      </w:r>
      <w:r>
        <w:rPr>
          <w:rFonts w:ascii="Times New Roman" w:hAnsi="Times New Roman"/>
          <w:sz w:val="24"/>
          <w:szCs w:val="24"/>
        </w:rPr>
        <w:t xml:space="preserve"> </w:t>
      </w:r>
      <w:r w:rsidRPr="0028786B">
        <w:rPr>
          <w:rFonts w:ascii="Times New Roman" w:hAnsi="Times New Roman"/>
          <w:sz w:val="24"/>
          <w:szCs w:val="24"/>
        </w:rPr>
        <w:t xml:space="preserve">rates up to twice per </w:t>
      </w:r>
      <w:r>
        <w:rPr>
          <w:rFonts w:ascii="Times New Roman" w:hAnsi="Times New Roman"/>
          <w:sz w:val="24"/>
          <w:szCs w:val="24"/>
        </w:rPr>
        <w:t>y</w:t>
      </w:r>
      <w:r w:rsidRPr="0028786B">
        <w:rPr>
          <w:rFonts w:ascii="Times New Roman" w:hAnsi="Times New Roman"/>
          <w:sz w:val="24"/>
          <w:szCs w:val="24"/>
        </w:rPr>
        <w:t>ear to allow for recovery of the costs of new transmission</w:t>
      </w:r>
      <w:r>
        <w:rPr>
          <w:rFonts w:ascii="Times New Roman" w:hAnsi="Times New Roman"/>
          <w:sz w:val="24"/>
          <w:szCs w:val="24"/>
        </w:rPr>
        <w:t xml:space="preserve"> </w:t>
      </w:r>
      <w:r w:rsidRPr="0028786B">
        <w:rPr>
          <w:rFonts w:ascii="Times New Roman" w:hAnsi="Times New Roman"/>
          <w:sz w:val="24"/>
          <w:szCs w:val="24"/>
        </w:rPr>
        <w:t>investments.</w:t>
      </w:r>
      <w:r w:rsidR="00DE0730">
        <w:rPr>
          <w:rFonts w:ascii="Times New Roman" w:hAnsi="Times New Roman"/>
          <w:sz w:val="24"/>
          <w:szCs w:val="24"/>
        </w:rPr>
        <w:t xml:space="preserve"> </w:t>
      </w:r>
      <w:r w:rsidR="00703DA4">
        <w:rPr>
          <w:rFonts w:ascii="Times New Roman" w:hAnsi="Times New Roman"/>
          <w:sz w:val="24"/>
          <w:szCs w:val="24"/>
        </w:rPr>
        <w:t xml:space="preserve"> The DCRF </w:t>
      </w:r>
      <w:r w:rsidR="00DB4968">
        <w:rPr>
          <w:rFonts w:ascii="Times New Roman" w:hAnsi="Times New Roman"/>
          <w:sz w:val="24"/>
          <w:szCs w:val="24"/>
        </w:rPr>
        <w:t>mechanism</w:t>
      </w:r>
      <w:r w:rsidR="00703DA4">
        <w:rPr>
          <w:rFonts w:ascii="Times New Roman" w:hAnsi="Times New Roman"/>
          <w:sz w:val="24"/>
          <w:szCs w:val="24"/>
        </w:rPr>
        <w:t xml:space="preserve"> </w:t>
      </w:r>
      <w:r w:rsidR="00FF1473" w:rsidRPr="00FF1473">
        <w:rPr>
          <w:rFonts w:ascii="Times New Roman" w:hAnsi="Times New Roman"/>
          <w:sz w:val="24"/>
          <w:szCs w:val="24"/>
        </w:rPr>
        <w:t>provides an expedited</w:t>
      </w:r>
      <w:r w:rsidR="00FF1473">
        <w:rPr>
          <w:rFonts w:ascii="Times New Roman" w:hAnsi="Times New Roman"/>
          <w:sz w:val="24"/>
          <w:szCs w:val="24"/>
        </w:rPr>
        <w:t xml:space="preserve"> </w:t>
      </w:r>
      <w:r w:rsidR="00FF1473" w:rsidRPr="00FF1473">
        <w:rPr>
          <w:rFonts w:ascii="Times New Roman" w:hAnsi="Times New Roman"/>
          <w:sz w:val="24"/>
          <w:szCs w:val="24"/>
        </w:rPr>
        <w:t xml:space="preserve">ratemaking process for a utility to </w:t>
      </w:r>
      <w:r w:rsidR="00272F7A">
        <w:rPr>
          <w:rFonts w:ascii="Times New Roman" w:hAnsi="Times New Roman"/>
          <w:sz w:val="24"/>
          <w:szCs w:val="24"/>
        </w:rPr>
        <w:t>request, once per year,</w:t>
      </w:r>
      <w:r w:rsidR="00FF1473">
        <w:rPr>
          <w:rFonts w:ascii="Times New Roman" w:hAnsi="Times New Roman"/>
          <w:sz w:val="24"/>
          <w:szCs w:val="24"/>
        </w:rPr>
        <w:t xml:space="preserve"> approval to</w:t>
      </w:r>
      <w:r w:rsidR="00FF1473" w:rsidRPr="00FF1473">
        <w:rPr>
          <w:rFonts w:ascii="Times New Roman" w:hAnsi="Times New Roman"/>
          <w:sz w:val="24"/>
          <w:szCs w:val="24"/>
        </w:rPr>
        <w:t xml:space="preserve"> incorporate</w:t>
      </w:r>
      <w:r w:rsidR="00FF1473">
        <w:rPr>
          <w:rFonts w:ascii="Times New Roman" w:hAnsi="Times New Roman"/>
          <w:sz w:val="24"/>
          <w:szCs w:val="24"/>
        </w:rPr>
        <w:t xml:space="preserve"> </w:t>
      </w:r>
      <w:r w:rsidR="00FF1473" w:rsidRPr="00FF1473">
        <w:rPr>
          <w:rFonts w:ascii="Times New Roman" w:hAnsi="Times New Roman"/>
          <w:sz w:val="24"/>
          <w:szCs w:val="24"/>
        </w:rPr>
        <w:t>changes in the utility's distribution invested capital since its most recent base rate case.</w:t>
      </w:r>
      <w:r w:rsidR="00437F74" w:rsidRPr="00D65B94">
        <w:rPr>
          <w:rStyle w:val="FootnoteReference"/>
          <w:rFonts w:ascii="Times New Roman" w:hAnsi="Times New Roman"/>
        </w:rPr>
        <w:footnoteReference w:id="26"/>
      </w:r>
    </w:p>
    <w:p w14:paraId="57FD8C09" w14:textId="77777777" w:rsidR="00646371" w:rsidRDefault="002542C9" w:rsidP="009C3F51">
      <w:pPr>
        <w:pStyle w:val="PlainText"/>
        <w:tabs>
          <w:tab w:val="left" w:pos="720"/>
          <w:tab w:val="left" w:pos="1080"/>
        </w:tabs>
        <w:spacing w:after="120" w:line="480" w:lineRule="auto"/>
        <w:ind w:left="720" w:hanging="720"/>
        <w:jc w:val="both"/>
        <w:rPr>
          <w:rFonts w:ascii="Times New Roman" w:hAnsi="Times New Roman"/>
          <w:sz w:val="24"/>
          <w:szCs w:val="24"/>
        </w:rPr>
      </w:pPr>
      <w:r>
        <w:rPr>
          <w:rFonts w:ascii="Times New Roman" w:hAnsi="Times New Roman"/>
          <w:sz w:val="24"/>
          <w:szCs w:val="24"/>
        </w:rPr>
        <w:tab/>
      </w:r>
      <w:r w:rsidR="00437F74">
        <w:rPr>
          <w:rFonts w:ascii="Times New Roman" w:hAnsi="Times New Roman"/>
          <w:sz w:val="24"/>
          <w:szCs w:val="24"/>
        </w:rPr>
        <w:tab/>
      </w:r>
      <w:r w:rsidR="00437F74">
        <w:rPr>
          <w:rFonts w:ascii="Times New Roman" w:hAnsi="Times New Roman"/>
          <w:sz w:val="24"/>
          <w:szCs w:val="24"/>
        </w:rPr>
        <w:tab/>
      </w:r>
      <w:r w:rsidR="00A36CB8">
        <w:rPr>
          <w:rFonts w:ascii="Times New Roman" w:hAnsi="Times New Roman"/>
          <w:sz w:val="24"/>
          <w:szCs w:val="24"/>
        </w:rPr>
        <w:t>Additionally, t</w:t>
      </w:r>
      <w:r w:rsidR="00880098">
        <w:rPr>
          <w:rFonts w:ascii="Times New Roman" w:hAnsi="Times New Roman"/>
          <w:sz w:val="24"/>
          <w:szCs w:val="24"/>
        </w:rPr>
        <w:t>he nature of the utility industry requires elevated capital expenditures</w:t>
      </w:r>
      <w:r w:rsidR="0088717B">
        <w:rPr>
          <w:rFonts w:ascii="Times New Roman" w:hAnsi="Times New Roman"/>
          <w:sz w:val="24"/>
          <w:szCs w:val="24"/>
        </w:rPr>
        <w:t>,</w:t>
      </w:r>
      <w:r w:rsidR="00880098">
        <w:rPr>
          <w:rFonts w:ascii="Times New Roman" w:hAnsi="Times New Roman"/>
          <w:sz w:val="24"/>
          <w:szCs w:val="24"/>
        </w:rPr>
        <w:t xml:space="preserve"> and the TCJA affect</w:t>
      </w:r>
      <w:r w:rsidR="0088717B">
        <w:rPr>
          <w:rFonts w:ascii="Times New Roman" w:hAnsi="Times New Roman"/>
          <w:sz w:val="24"/>
          <w:szCs w:val="24"/>
        </w:rPr>
        <w:t>s</w:t>
      </w:r>
      <w:r w:rsidR="00880098">
        <w:rPr>
          <w:rFonts w:ascii="Times New Roman" w:hAnsi="Times New Roman"/>
          <w:sz w:val="24"/>
          <w:szCs w:val="24"/>
        </w:rPr>
        <w:t xml:space="preserve"> all utilities. </w:t>
      </w:r>
      <w:r w:rsidR="00673950">
        <w:rPr>
          <w:rFonts w:ascii="Times New Roman" w:hAnsi="Times New Roman"/>
          <w:sz w:val="24"/>
          <w:szCs w:val="24"/>
        </w:rPr>
        <w:t xml:space="preserve"> </w:t>
      </w:r>
      <w:r w:rsidR="00880098">
        <w:rPr>
          <w:rFonts w:ascii="Times New Roman" w:hAnsi="Times New Roman"/>
          <w:sz w:val="24"/>
          <w:szCs w:val="24"/>
        </w:rPr>
        <w:t>Therefore, these risks have been accounted for in my estimation of CEHE’s return on equity based on a comparable group of companies.</w:t>
      </w:r>
      <w:r w:rsidR="00673950">
        <w:rPr>
          <w:rFonts w:ascii="Times New Roman" w:hAnsi="Times New Roman"/>
          <w:sz w:val="24"/>
          <w:szCs w:val="24"/>
        </w:rPr>
        <w:t xml:space="preserve"> </w:t>
      </w:r>
      <w:r w:rsidR="00880098">
        <w:rPr>
          <w:rFonts w:ascii="Times New Roman" w:hAnsi="Times New Roman"/>
          <w:sz w:val="24"/>
          <w:szCs w:val="24"/>
        </w:rPr>
        <w:t xml:space="preserve"> As mentioned earlier in my testimony, t</w:t>
      </w:r>
      <w:r w:rsidR="00880098" w:rsidRPr="00880098">
        <w:rPr>
          <w:rFonts w:ascii="Times New Roman" w:hAnsi="Times New Roman"/>
          <w:sz w:val="24"/>
          <w:szCs w:val="24"/>
        </w:rPr>
        <w:t xml:space="preserve">he objective of a comparable company analysis is to estimate the cost of equity for a subject company by estimating the cost of equity for companies with similar risk characteristics.  </w:t>
      </w:r>
    </w:p>
    <w:p w14:paraId="1C7DFB04" w14:textId="2AF555B7" w:rsidR="00646371" w:rsidRDefault="00646371" w:rsidP="00646371">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Pr>
          <w:rFonts w:ascii="Times New Roman" w:hAnsi="Times New Roman"/>
          <w:b/>
          <w:sz w:val="24"/>
          <w:szCs w:val="24"/>
        </w:rPr>
        <w:t>What is your reaction to the risk of damage from hurricanes</w:t>
      </w:r>
      <w:r w:rsidR="00CA790E">
        <w:rPr>
          <w:rFonts w:ascii="Times New Roman" w:hAnsi="Times New Roman"/>
          <w:b/>
          <w:sz w:val="24"/>
          <w:szCs w:val="24"/>
        </w:rPr>
        <w:t xml:space="preserve"> </w:t>
      </w:r>
      <w:r w:rsidR="00BC27DC">
        <w:rPr>
          <w:rFonts w:ascii="Times New Roman" w:hAnsi="Times New Roman"/>
          <w:b/>
          <w:sz w:val="24"/>
          <w:szCs w:val="24"/>
        </w:rPr>
        <w:t xml:space="preserve">referenced in </w:t>
      </w:r>
      <w:r w:rsidR="00CA790E">
        <w:rPr>
          <w:rFonts w:ascii="Times New Roman" w:hAnsi="Times New Roman"/>
          <w:b/>
          <w:sz w:val="24"/>
          <w:szCs w:val="24"/>
        </w:rPr>
        <w:t>CEHE’s first argument</w:t>
      </w:r>
      <w:r>
        <w:rPr>
          <w:rFonts w:ascii="Times New Roman" w:hAnsi="Times New Roman"/>
          <w:b/>
          <w:sz w:val="24"/>
          <w:szCs w:val="24"/>
        </w:rPr>
        <w:t>?</w:t>
      </w:r>
    </w:p>
    <w:p w14:paraId="67314F03" w14:textId="4F7DACDC" w:rsidR="00755A01" w:rsidRDefault="00F61425" w:rsidP="00841558">
      <w:pPr>
        <w:pStyle w:val="PlainText"/>
        <w:tabs>
          <w:tab w:val="left" w:pos="720"/>
          <w:tab w:val="left" w:pos="1080"/>
        </w:tabs>
        <w:spacing w:after="120" w:line="480" w:lineRule="auto"/>
        <w:ind w:left="720" w:hanging="720"/>
        <w:jc w:val="both"/>
        <w:rPr>
          <w:rFonts w:ascii="Times New Roman" w:hAnsi="Times New Roman"/>
          <w:sz w:val="24"/>
          <w:szCs w:val="24"/>
        </w:rPr>
      </w:pPr>
      <w:r w:rsidRPr="00FF7CA4">
        <w:rPr>
          <w:rFonts w:ascii="Times New Roman" w:hAnsi="Times New Roman"/>
          <w:sz w:val="24"/>
          <w:szCs w:val="24"/>
        </w:rPr>
        <w:t>A.</w:t>
      </w:r>
      <w:r w:rsidRPr="00FF7CA4">
        <w:rPr>
          <w:rFonts w:ascii="Times New Roman" w:hAnsi="Times New Roman"/>
          <w:sz w:val="24"/>
          <w:szCs w:val="24"/>
        </w:rPr>
        <w:tab/>
      </w:r>
      <w:r w:rsidR="008C268A">
        <w:rPr>
          <w:rFonts w:ascii="Times New Roman" w:hAnsi="Times New Roman"/>
          <w:sz w:val="24"/>
          <w:szCs w:val="24"/>
        </w:rPr>
        <w:t xml:space="preserve">As CEHE </w:t>
      </w:r>
      <w:r w:rsidR="005519F4">
        <w:rPr>
          <w:rFonts w:ascii="Times New Roman" w:hAnsi="Times New Roman"/>
          <w:sz w:val="24"/>
          <w:szCs w:val="24"/>
        </w:rPr>
        <w:t xml:space="preserve">stated </w:t>
      </w:r>
      <w:r w:rsidR="008C268A">
        <w:rPr>
          <w:rFonts w:ascii="Times New Roman" w:hAnsi="Times New Roman"/>
          <w:sz w:val="24"/>
          <w:szCs w:val="24"/>
        </w:rPr>
        <w:t xml:space="preserve">in its testimony, Texas </w:t>
      </w:r>
      <w:r w:rsidR="00836B07">
        <w:rPr>
          <w:rFonts w:ascii="Times New Roman" w:hAnsi="Times New Roman"/>
          <w:sz w:val="24"/>
          <w:szCs w:val="24"/>
        </w:rPr>
        <w:t>l</w:t>
      </w:r>
      <w:r w:rsidR="008C268A">
        <w:rPr>
          <w:rFonts w:ascii="Times New Roman" w:hAnsi="Times New Roman"/>
          <w:sz w:val="24"/>
          <w:szCs w:val="24"/>
        </w:rPr>
        <w:t>aw allows utilities that suffer hurricane damage to recover storm restoration costs and to obtain securitization financing for those costs.</w:t>
      </w:r>
      <w:bookmarkStart w:id="27" w:name="OLE_LINK12"/>
      <w:r w:rsidR="00BE7685" w:rsidRPr="00BE7685">
        <w:rPr>
          <w:rStyle w:val="FootnoteReference"/>
          <w:rFonts w:ascii="Times New Roman" w:hAnsi="Times New Roman"/>
          <w:sz w:val="24"/>
          <w:szCs w:val="24"/>
        </w:rPr>
        <w:footnoteReference w:id="27"/>
      </w:r>
      <w:bookmarkEnd w:id="27"/>
      <w:r w:rsidR="00673950">
        <w:rPr>
          <w:rFonts w:ascii="Times New Roman" w:hAnsi="Times New Roman"/>
          <w:sz w:val="24"/>
          <w:szCs w:val="24"/>
        </w:rPr>
        <w:t xml:space="preserve"> </w:t>
      </w:r>
      <w:r w:rsidR="008C268A">
        <w:rPr>
          <w:rFonts w:ascii="Times New Roman" w:hAnsi="Times New Roman"/>
          <w:sz w:val="24"/>
          <w:szCs w:val="24"/>
        </w:rPr>
        <w:t xml:space="preserve"> </w:t>
      </w:r>
      <w:r w:rsidR="005C537A">
        <w:rPr>
          <w:rFonts w:ascii="Times New Roman" w:hAnsi="Times New Roman"/>
          <w:sz w:val="24"/>
          <w:szCs w:val="24"/>
        </w:rPr>
        <w:t xml:space="preserve">I do not believe that the value of this recovery mechanism </w:t>
      </w:r>
      <w:r w:rsidR="008C268A">
        <w:rPr>
          <w:rFonts w:ascii="Times New Roman" w:hAnsi="Times New Roman"/>
          <w:sz w:val="24"/>
          <w:szCs w:val="24"/>
        </w:rPr>
        <w:t>should be minimized.</w:t>
      </w:r>
      <w:r w:rsidR="00BF28B5">
        <w:rPr>
          <w:rFonts w:ascii="Times New Roman" w:hAnsi="Times New Roman"/>
          <w:sz w:val="24"/>
          <w:szCs w:val="24"/>
        </w:rPr>
        <w:t xml:space="preserve"> </w:t>
      </w:r>
      <w:r w:rsidR="008C268A">
        <w:rPr>
          <w:rFonts w:ascii="Times New Roman" w:hAnsi="Times New Roman"/>
          <w:sz w:val="24"/>
          <w:szCs w:val="24"/>
        </w:rPr>
        <w:t xml:space="preserve"> </w:t>
      </w:r>
      <w:r w:rsidR="001B3965">
        <w:rPr>
          <w:rFonts w:ascii="Times New Roman" w:hAnsi="Times New Roman"/>
          <w:sz w:val="24"/>
          <w:szCs w:val="24"/>
        </w:rPr>
        <w:t>As</w:t>
      </w:r>
      <w:r w:rsidR="00AE1E15">
        <w:rPr>
          <w:rFonts w:ascii="Times New Roman" w:hAnsi="Times New Roman"/>
          <w:sz w:val="24"/>
          <w:szCs w:val="24"/>
        </w:rPr>
        <w:t xml:space="preserve"> discussed in </w:t>
      </w:r>
      <w:r w:rsidR="007B1D99">
        <w:rPr>
          <w:rFonts w:ascii="Times New Roman" w:hAnsi="Times New Roman"/>
          <w:sz w:val="24"/>
          <w:szCs w:val="24"/>
        </w:rPr>
        <w:t xml:space="preserve">Section </w:t>
      </w:r>
      <w:r w:rsidR="003B34E4">
        <w:rPr>
          <w:rFonts w:ascii="Times New Roman" w:hAnsi="Times New Roman"/>
          <w:sz w:val="24"/>
          <w:szCs w:val="24"/>
        </w:rPr>
        <w:t>IX</w:t>
      </w:r>
      <w:r w:rsidR="007B1D99">
        <w:rPr>
          <w:rFonts w:ascii="Times New Roman" w:hAnsi="Times New Roman"/>
          <w:sz w:val="24"/>
          <w:szCs w:val="24"/>
        </w:rPr>
        <w:t xml:space="preserve"> of </w:t>
      </w:r>
      <w:r w:rsidR="00AE1E15">
        <w:rPr>
          <w:rFonts w:ascii="Times New Roman" w:hAnsi="Times New Roman"/>
          <w:sz w:val="24"/>
          <w:szCs w:val="24"/>
        </w:rPr>
        <w:t xml:space="preserve">my testimony, I </w:t>
      </w:r>
      <w:r w:rsidR="007B1D99">
        <w:rPr>
          <w:rFonts w:ascii="Times New Roman" w:hAnsi="Times New Roman"/>
          <w:sz w:val="24"/>
          <w:szCs w:val="24"/>
        </w:rPr>
        <w:t xml:space="preserve">am </w:t>
      </w:r>
      <w:r w:rsidR="00AE1E15">
        <w:rPr>
          <w:rFonts w:ascii="Times New Roman" w:hAnsi="Times New Roman"/>
          <w:sz w:val="24"/>
          <w:szCs w:val="24"/>
        </w:rPr>
        <w:t xml:space="preserve">recommending that the Commission allow CEHE to recover the </w:t>
      </w:r>
      <w:r w:rsidR="006A7897">
        <w:rPr>
          <w:rFonts w:ascii="Times New Roman" w:hAnsi="Times New Roman"/>
          <w:sz w:val="24"/>
          <w:szCs w:val="24"/>
        </w:rPr>
        <w:t xml:space="preserve">Hurricane Harvey </w:t>
      </w:r>
      <w:r w:rsidR="00AE1E15">
        <w:rPr>
          <w:rFonts w:ascii="Times New Roman" w:hAnsi="Times New Roman"/>
          <w:sz w:val="24"/>
          <w:szCs w:val="24"/>
        </w:rPr>
        <w:t xml:space="preserve">carrying costs </w:t>
      </w:r>
      <w:r w:rsidR="005E3058">
        <w:rPr>
          <w:rFonts w:ascii="Times New Roman" w:hAnsi="Times New Roman"/>
          <w:sz w:val="24"/>
          <w:szCs w:val="24"/>
        </w:rPr>
        <w:t xml:space="preserve">calculated </w:t>
      </w:r>
      <w:r w:rsidR="006A7897">
        <w:rPr>
          <w:rFonts w:ascii="Times New Roman" w:hAnsi="Times New Roman"/>
          <w:sz w:val="24"/>
          <w:szCs w:val="24"/>
        </w:rPr>
        <w:t xml:space="preserve">using </w:t>
      </w:r>
      <w:r w:rsidR="00DE4A85">
        <w:rPr>
          <w:rFonts w:ascii="Times New Roman" w:hAnsi="Times New Roman"/>
          <w:sz w:val="24"/>
          <w:szCs w:val="24"/>
        </w:rPr>
        <w:t>CEHE’s Commis</w:t>
      </w:r>
      <w:r w:rsidR="006A7897">
        <w:rPr>
          <w:rFonts w:ascii="Times New Roman" w:hAnsi="Times New Roman"/>
          <w:sz w:val="24"/>
          <w:szCs w:val="24"/>
        </w:rPr>
        <w:t>sion-authorized rate of return.</w:t>
      </w:r>
    </w:p>
    <w:p w14:paraId="7A5B6E1D" w14:textId="6DF239C6" w:rsidR="00AE68EC" w:rsidRDefault="00AE68EC" w:rsidP="00AE68EC">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sidR="00CE3B8E">
        <w:rPr>
          <w:rFonts w:ascii="Times New Roman" w:hAnsi="Times New Roman"/>
          <w:b/>
          <w:sz w:val="24"/>
          <w:szCs w:val="24"/>
        </w:rPr>
        <w:t xml:space="preserve">Please discuss </w:t>
      </w:r>
      <w:bookmarkStart w:id="28" w:name="OLE_LINK16"/>
      <w:r w:rsidR="00CE3B8E">
        <w:rPr>
          <w:rFonts w:ascii="Times New Roman" w:hAnsi="Times New Roman"/>
          <w:b/>
          <w:sz w:val="24"/>
          <w:szCs w:val="24"/>
        </w:rPr>
        <w:t xml:space="preserve">the </w:t>
      </w:r>
      <w:r w:rsidR="00BE372A">
        <w:rPr>
          <w:rFonts w:ascii="Times New Roman" w:hAnsi="Times New Roman"/>
          <w:b/>
          <w:sz w:val="24"/>
          <w:szCs w:val="24"/>
        </w:rPr>
        <w:t>regulatory risk</w:t>
      </w:r>
      <w:r w:rsidR="0079022A">
        <w:rPr>
          <w:rFonts w:ascii="Times New Roman" w:hAnsi="Times New Roman"/>
          <w:b/>
          <w:sz w:val="24"/>
          <w:szCs w:val="24"/>
        </w:rPr>
        <w:t xml:space="preserve"> aspect</w:t>
      </w:r>
      <w:r w:rsidR="00841558">
        <w:rPr>
          <w:rFonts w:ascii="Times New Roman" w:hAnsi="Times New Roman"/>
          <w:b/>
          <w:sz w:val="24"/>
          <w:szCs w:val="24"/>
        </w:rPr>
        <w:t xml:space="preserve"> </w:t>
      </w:r>
      <w:r w:rsidR="001B0299">
        <w:rPr>
          <w:rFonts w:ascii="Times New Roman" w:hAnsi="Times New Roman"/>
          <w:b/>
          <w:sz w:val="24"/>
          <w:szCs w:val="24"/>
        </w:rPr>
        <w:t xml:space="preserve">referenced in </w:t>
      </w:r>
      <w:r w:rsidR="00841558">
        <w:rPr>
          <w:rFonts w:ascii="Times New Roman" w:hAnsi="Times New Roman"/>
          <w:b/>
          <w:sz w:val="24"/>
          <w:szCs w:val="24"/>
        </w:rPr>
        <w:t>CEHE’s first argument</w:t>
      </w:r>
      <w:r w:rsidR="00167DC1">
        <w:rPr>
          <w:rFonts w:ascii="Times New Roman" w:hAnsi="Times New Roman"/>
          <w:b/>
          <w:sz w:val="24"/>
          <w:szCs w:val="24"/>
        </w:rPr>
        <w:t>.</w:t>
      </w:r>
      <w:bookmarkEnd w:id="28"/>
    </w:p>
    <w:p w14:paraId="3B21FC0C" w14:textId="67303C4D" w:rsidR="007630CC" w:rsidRDefault="00AE68EC" w:rsidP="00BE372A">
      <w:pPr>
        <w:pStyle w:val="PlainText"/>
        <w:tabs>
          <w:tab w:val="left" w:pos="720"/>
          <w:tab w:val="left" w:pos="1080"/>
        </w:tabs>
        <w:spacing w:after="120" w:line="480" w:lineRule="auto"/>
        <w:ind w:left="720" w:hanging="720"/>
        <w:jc w:val="both"/>
        <w:rPr>
          <w:rFonts w:ascii="Times New Roman" w:hAnsi="Times New Roman"/>
          <w:sz w:val="24"/>
          <w:szCs w:val="24"/>
        </w:rPr>
      </w:pPr>
      <w:r w:rsidRPr="00FF7CA4">
        <w:rPr>
          <w:rFonts w:ascii="Times New Roman" w:hAnsi="Times New Roman"/>
          <w:sz w:val="24"/>
          <w:szCs w:val="24"/>
        </w:rPr>
        <w:t>A.</w:t>
      </w:r>
      <w:r w:rsidRPr="00FF7CA4">
        <w:rPr>
          <w:rFonts w:ascii="Times New Roman" w:hAnsi="Times New Roman"/>
          <w:sz w:val="24"/>
          <w:szCs w:val="24"/>
        </w:rPr>
        <w:tab/>
      </w:r>
      <w:r w:rsidR="00755A01">
        <w:rPr>
          <w:rFonts w:ascii="Times New Roman" w:hAnsi="Times New Roman"/>
          <w:sz w:val="24"/>
          <w:szCs w:val="24"/>
        </w:rPr>
        <w:t>CEHE’s witness</w:t>
      </w:r>
      <w:r w:rsidR="00565E2D">
        <w:rPr>
          <w:rFonts w:ascii="Times New Roman" w:hAnsi="Times New Roman"/>
          <w:sz w:val="24"/>
          <w:szCs w:val="24"/>
        </w:rPr>
        <w:t>,</w:t>
      </w:r>
      <w:r w:rsidR="00755A01">
        <w:rPr>
          <w:rFonts w:ascii="Times New Roman" w:hAnsi="Times New Roman"/>
          <w:sz w:val="24"/>
          <w:szCs w:val="24"/>
        </w:rPr>
        <w:t xml:space="preserve"> Robert B. McRae</w:t>
      </w:r>
      <w:r w:rsidR="00565E2D">
        <w:rPr>
          <w:rFonts w:ascii="Times New Roman" w:hAnsi="Times New Roman"/>
          <w:sz w:val="24"/>
          <w:szCs w:val="24"/>
        </w:rPr>
        <w:t>,</w:t>
      </w:r>
      <w:r w:rsidR="00755A01">
        <w:rPr>
          <w:rFonts w:ascii="Times New Roman" w:hAnsi="Times New Roman"/>
          <w:sz w:val="24"/>
          <w:szCs w:val="24"/>
        </w:rPr>
        <w:t xml:space="preserve"> points out that both S&amp;P and Moody’s have characterized the Texas regulatory environment as being “constructive” or “credit positive</w:t>
      </w:r>
      <w:r w:rsidR="00CF4C59">
        <w:rPr>
          <w:rFonts w:ascii="Times New Roman" w:hAnsi="Times New Roman"/>
          <w:sz w:val="24"/>
          <w:szCs w:val="24"/>
        </w:rPr>
        <w:t>,</w:t>
      </w:r>
      <w:r w:rsidR="00755A01">
        <w:rPr>
          <w:rFonts w:ascii="Times New Roman" w:hAnsi="Times New Roman"/>
          <w:sz w:val="24"/>
          <w:szCs w:val="24"/>
        </w:rPr>
        <w:t xml:space="preserve">” in large part </w:t>
      </w:r>
      <w:r w:rsidR="001B0299">
        <w:rPr>
          <w:rFonts w:ascii="Times New Roman" w:hAnsi="Times New Roman"/>
          <w:sz w:val="24"/>
          <w:szCs w:val="24"/>
        </w:rPr>
        <w:t xml:space="preserve">due to </w:t>
      </w:r>
      <w:r w:rsidR="00755A01">
        <w:rPr>
          <w:rFonts w:ascii="Times New Roman" w:hAnsi="Times New Roman"/>
          <w:sz w:val="24"/>
          <w:szCs w:val="24"/>
        </w:rPr>
        <w:t xml:space="preserve">the availability of </w:t>
      </w:r>
      <w:r w:rsidR="001D1C70">
        <w:rPr>
          <w:rFonts w:ascii="Times New Roman" w:hAnsi="Times New Roman"/>
          <w:sz w:val="24"/>
          <w:szCs w:val="24"/>
        </w:rPr>
        <w:t xml:space="preserve">mechanisms to recover transmission and distribution </w:t>
      </w:r>
      <w:r w:rsidR="00755A01">
        <w:rPr>
          <w:rFonts w:ascii="Times New Roman" w:hAnsi="Times New Roman"/>
          <w:sz w:val="24"/>
          <w:szCs w:val="24"/>
        </w:rPr>
        <w:t>cost</w:t>
      </w:r>
      <w:r w:rsidR="001D1C70">
        <w:rPr>
          <w:rFonts w:ascii="Times New Roman" w:hAnsi="Times New Roman"/>
          <w:sz w:val="24"/>
          <w:szCs w:val="24"/>
        </w:rPr>
        <w:t>s.</w:t>
      </w:r>
      <w:r w:rsidR="008A43E3">
        <w:rPr>
          <w:rFonts w:ascii="Times New Roman" w:hAnsi="Times New Roman"/>
          <w:sz w:val="24"/>
          <w:szCs w:val="24"/>
        </w:rPr>
        <w:t xml:space="preserve"> </w:t>
      </w:r>
      <w:r w:rsidR="00A95BB0" w:rsidRPr="00A95BB0">
        <w:rPr>
          <w:rFonts w:ascii="Times New Roman" w:hAnsi="Times New Roman"/>
          <w:sz w:val="24"/>
          <w:szCs w:val="24"/>
        </w:rPr>
        <w:t xml:space="preserve"> </w:t>
      </w:r>
      <w:r w:rsidR="00A95BB0">
        <w:rPr>
          <w:rFonts w:ascii="Times New Roman" w:hAnsi="Times New Roman"/>
          <w:sz w:val="24"/>
          <w:szCs w:val="24"/>
        </w:rPr>
        <w:t xml:space="preserve">Mr. McRae also points out that Fitch has characterized </w:t>
      </w:r>
      <w:r w:rsidR="004B5335">
        <w:rPr>
          <w:rFonts w:ascii="Times New Roman" w:hAnsi="Times New Roman"/>
          <w:sz w:val="24"/>
          <w:szCs w:val="24"/>
        </w:rPr>
        <w:t xml:space="preserve">the </w:t>
      </w:r>
      <w:r w:rsidR="00A95BB0">
        <w:rPr>
          <w:rFonts w:ascii="Times New Roman" w:hAnsi="Times New Roman"/>
          <w:sz w:val="24"/>
          <w:szCs w:val="24"/>
        </w:rPr>
        <w:t xml:space="preserve">Texas regulatory framework as “challenging,” </w:t>
      </w:r>
      <w:r w:rsidR="00C82A5F">
        <w:rPr>
          <w:rFonts w:ascii="Times New Roman" w:hAnsi="Times New Roman"/>
          <w:sz w:val="24"/>
          <w:szCs w:val="24"/>
        </w:rPr>
        <w:t xml:space="preserve">primarily </w:t>
      </w:r>
      <w:r w:rsidR="00A95BB0">
        <w:rPr>
          <w:rFonts w:ascii="Times New Roman" w:hAnsi="Times New Roman"/>
          <w:sz w:val="24"/>
          <w:szCs w:val="24"/>
        </w:rPr>
        <w:t xml:space="preserve">because </w:t>
      </w:r>
      <w:r w:rsidR="00DF583A">
        <w:rPr>
          <w:rFonts w:ascii="Times New Roman" w:hAnsi="Times New Roman"/>
          <w:sz w:val="24"/>
          <w:szCs w:val="24"/>
        </w:rPr>
        <w:t xml:space="preserve">rates are established based on a historical test year and because </w:t>
      </w:r>
      <w:r w:rsidR="00A95BB0">
        <w:rPr>
          <w:rFonts w:ascii="Times New Roman" w:hAnsi="Times New Roman"/>
          <w:sz w:val="24"/>
          <w:szCs w:val="24"/>
        </w:rPr>
        <w:t>the ROEs granted by the Commission are relatively low compared to many other state commissions</w:t>
      </w:r>
      <w:r w:rsidR="001C7FB6">
        <w:rPr>
          <w:rFonts w:ascii="Times New Roman" w:hAnsi="Times New Roman"/>
          <w:sz w:val="24"/>
          <w:szCs w:val="24"/>
        </w:rPr>
        <w:t>’</w:t>
      </w:r>
      <w:r w:rsidR="00A95BB0">
        <w:rPr>
          <w:rFonts w:ascii="Times New Roman" w:hAnsi="Times New Roman"/>
          <w:sz w:val="24"/>
          <w:szCs w:val="24"/>
        </w:rPr>
        <w:t xml:space="preserve"> authorized ROEs.</w:t>
      </w:r>
      <w:r w:rsidR="00A95BB0" w:rsidRPr="00BE7685">
        <w:rPr>
          <w:rStyle w:val="FootnoteReference"/>
          <w:rFonts w:ascii="Times New Roman" w:hAnsi="Times New Roman"/>
          <w:sz w:val="24"/>
          <w:szCs w:val="24"/>
        </w:rPr>
        <w:footnoteReference w:id="28"/>
      </w:r>
      <w:r w:rsidR="000E5F24">
        <w:rPr>
          <w:rFonts w:ascii="Times New Roman" w:hAnsi="Times New Roman"/>
          <w:sz w:val="24"/>
          <w:szCs w:val="24"/>
        </w:rPr>
        <w:tab/>
      </w:r>
    </w:p>
    <w:p w14:paraId="5876598B" w14:textId="0063940C" w:rsidR="00E91C38" w:rsidRDefault="00E91C38" w:rsidP="00E91C38">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Pr>
          <w:rFonts w:ascii="Times New Roman" w:hAnsi="Times New Roman"/>
          <w:b/>
          <w:sz w:val="24"/>
          <w:szCs w:val="24"/>
        </w:rPr>
        <w:t>What is your reaction?</w:t>
      </w:r>
    </w:p>
    <w:p w14:paraId="27221355" w14:textId="79C10236" w:rsidR="001D1232" w:rsidRDefault="00E91C38" w:rsidP="00E91C38">
      <w:pPr>
        <w:pStyle w:val="PlainText"/>
        <w:tabs>
          <w:tab w:val="left" w:pos="720"/>
          <w:tab w:val="left" w:pos="1080"/>
        </w:tabs>
        <w:spacing w:after="120" w:line="480" w:lineRule="auto"/>
        <w:ind w:left="720" w:hanging="720"/>
        <w:jc w:val="both"/>
        <w:rPr>
          <w:rFonts w:ascii="Times New Roman" w:hAnsi="Times New Roman"/>
          <w:sz w:val="24"/>
          <w:szCs w:val="24"/>
        </w:rPr>
      </w:pPr>
      <w:r w:rsidRPr="00FF7CA4">
        <w:rPr>
          <w:rFonts w:ascii="Times New Roman" w:hAnsi="Times New Roman"/>
          <w:sz w:val="24"/>
          <w:szCs w:val="24"/>
        </w:rPr>
        <w:t>A.</w:t>
      </w:r>
      <w:r w:rsidRPr="00FF7CA4">
        <w:rPr>
          <w:rFonts w:ascii="Times New Roman" w:hAnsi="Times New Roman"/>
          <w:sz w:val="24"/>
          <w:szCs w:val="24"/>
        </w:rPr>
        <w:tab/>
      </w:r>
      <w:r w:rsidR="00152645">
        <w:rPr>
          <w:rFonts w:ascii="Times New Roman" w:hAnsi="Times New Roman"/>
          <w:sz w:val="24"/>
          <w:szCs w:val="24"/>
        </w:rPr>
        <w:t>I reviewed the Fitch report that Mr. McRae relied on</w:t>
      </w:r>
      <w:r w:rsidR="00981A0A">
        <w:rPr>
          <w:rFonts w:ascii="Times New Roman" w:hAnsi="Times New Roman"/>
          <w:sz w:val="24"/>
          <w:szCs w:val="24"/>
        </w:rPr>
        <w:t xml:space="preserve"> </w:t>
      </w:r>
      <w:r w:rsidR="00152645">
        <w:rPr>
          <w:rFonts w:ascii="Times New Roman" w:hAnsi="Times New Roman"/>
          <w:sz w:val="24"/>
          <w:szCs w:val="24"/>
        </w:rPr>
        <w:t xml:space="preserve">to assert that </w:t>
      </w:r>
      <w:r w:rsidR="00971736">
        <w:rPr>
          <w:rFonts w:ascii="Times New Roman" w:hAnsi="Times New Roman"/>
          <w:sz w:val="24"/>
          <w:szCs w:val="24"/>
        </w:rPr>
        <w:t xml:space="preserve">rates are established based on a historical test year and </w:t>
      </w:r>
      <w:r w:rsidR="008607C5">
        <w:rPr>
          <w:rFonts w:ascii="Times New Roman" w:hAnsi="Times New Roman"/>
          <w:sz w:val="24"/>
          <w:szCs w:val="24"/>
        </w:rPr>
        <w:t xml:space="preserve">that </w:t>
      </w:r>
      <w:r w:rsidR="00152645" w:rsidRPr="00152645">
        <w:rPr>
          <w:rFonts w:ascii="Times New Roman" w:hAnsi="Times New Roman"/>
          <w:sz w:val="24"/>
          <w:szCs w:val="24"/>
        </w:rPr>
        <w:t xml:space="preserve">ROEs granted by the Commission are relatively low compared to </w:t>
      </w:r>
      <w:r w:rsidR="00BA1CA5">
        <w:rPr>
          <w:rFonts w:ascii="Times New Roman" w:hAnsi="Times New Roman"/>
          <w:sz w:val="24"/>
          <w:szCs w:val="24"/>
        </w:rPr>
        <w:t xml:space="preserve">those of </w:t>
      </w:r>
      <w:r w:rsidR="00152645" w:rsidRPr="00152645">
        <w:rPr>
          <w:rFonts w:ascii="Times New Roman" w:hAnsi="Times New Roman"/>
          <w:sz w:val="24"/>
          <w:szCs w:val="24"/>
        </w:rPr>
        <w:t>many other state commissions</w:t>
      </w:r>
      <w:r w:rsidR="00BA1CA5">
        <w:rPr>
          <w:rFonts w:ascii="Times New Roman" w:hAnsi="Times New Roman"/>
          <w:sz w:val="24"/>
          <w:szCs w:val="24"/>
        </w:rPr>
        <w:t xml:space="preserve"> </w:t>
      </w:r>
      <w:r w:rsidR="003C3D6A">
        <w:rPr>
          <w:rFonts w:ascii="Times New Roman" w:hAnsi="Times New Roman"/>
          <w:sz w:val="24"/>
          <w:szCs w:val="24"/>
        </w:rPr>
        <w:t>(Fitch Report)</w:t>
      </w:r>
      <w:r w:rsidR="00981A0A">
        <w:rPr>
          <w:rFonts w:ascii="Times New Roman" w:hAnsi="Times New Roman"/>
          <w:sz w:val="24"/>
          <w:szCs w:val="24"/>
        </w:rPr>
        <w:t>.</w:t>
      </w:r>
      <w:r w:rsidR="003C3D6A" w:rsidRPr="005F440D">
        <w:rPr>
          <w:rStyle w:val="FootnoteReference"/>
          <w:rFonts w:ascii="Times New Roman" w:hAnsi="Times New Roman"/>
        </w:rPr>
        <w:footnoteReference w:id="29"/>
      </w:r>
      <w:r w:rsidR="009D2DD5">
        <w:rPr>
          <w:rFonts w:ascii="Times New Roman" w:hAnsi="Times New Roman"/>
          <w:sz w:val="24"/>
          <w:szCs w:val="24"/>
        </w:rPr>
        <w:t xml:space="preserve"> </w:t>
      </w:r>
      <w:r w:rsidR="00F0691D">
        <w:rPr>
          <w:rFonts w:ascii="Times New Roman" w:hAnsi="Times New Roman"/>
          <w:sz w:val="24"/>
          <w:szCs w:val="24"/>
        </w:rPr>
        <w:t xml:space="preserve"> </w:t>
      </w:r>
      <w:r w:rsidR="001D1232">
        <w:rPr>
          <w:rFonts w:ascii="Times New Roman" w:hAnsi="Times New Roman"/>
          <w:sz w:val="24"/>
          <w:szCs w:val="24"/>
        </w:rPr>
        <w:t>The</w:t>
      </w:r>
      <w:r w:rsidR="009D2DD5">
        <w:rPr>
          <w:rFonts w:ascii="Times New Roman" w:hAnsi="Times New Roman"/>
          <w:sz w:val="24"/>
          <w:szCs w:val="24"/>
        </w:rPr>
        <w:t xml:space="preserve"> </w:t>
      </w:r>
      <w:r w:rsidR="003C3D6A">
        <w:rPr>
          <w:rFonts w:ascii="Times New Roman" w:hAnsi="Times New Roman"/>
          <w:sz w:val="24"/>
          <w:szCs w:val="24"/>
        </w:rPr>
        <w:t>Fitch R</w:t>
      </w:r>
      <w:r w:rsidR="009D2DD5">
        <w:rPr>
          <w:rFonts w:ascii="Times New Roman" w:hAnsi="Times New Roman"/>
          <w:sz w:val="24"/>
          <w:szCs w:val="24"/>
        </w:rPr>
        <w:t>eport</w:t>
      </w:r>
      <w:r w:rsidR="001D1232">
        <w:rPr>
          <w:rFonts w:ascii="Times New Roman" w:hAnsi="Times New Roman"/>
          <w:sz w:val="24"/>
          <w:szCs w:val="24"/>
        </w:rPr>
        <w:t xml:space="preserve"> </w:t>
      </w:r>
      <w:r w:rsidR="009D2DD5">
        <w:rPr>
          <w:rFonts w:ascii="Times New Roman" w:hAnsi="Times New Roman"/>
          <w:sz w:val="24"/>
          <w:szCs w:val="24"/>
        </w:rPr>
        <w:t xml:space="preserve">mentions the historical test year regulation as a weakness, </w:t>
      </w:r>
      <w:r w:rsidR="00130C23">
        <w:rPr>
          <w:rFonts w:ascii="Times New Roman" w:hAnsi="Times New Roman"/>
          <w:sz w:val="24"/>
          <w:szCs w:val="24"/>
        </w:rPr>
        <w:t xml:space="preserve">but </w:t>
      </w:r>
      <w:r w:rsidR="00841B76">
        <w:rPr>
          <w:rFonts w:ascii="Times New Roman" w:hAnsi="Times New Roman"/>
          <w:sz w:val="24"/>
          <w:szCs w:val="24"/>
        </w:rPr>
        <w:t>contain</w:t>
      </w:r>
      <w:r w:rsidR="00437726">
        <w:rPr>
          <w:rFonts w:ascii="Times New Roman" w:hAnsi="Times New Roman"/>
          <w:sz w:val="24"/>
          <w:szCs w:val="24"/>
        </w:rPr>
        <w:t>s</w:t>
      </w:r>
      <w:r w:rsidR="00841B76">
        <w:rPr>
          <w:rFonts w:ascii="Times New Roman" w:hAnsi="Times New Roman"/>
          <w:sz w:val="24"/>
          <w:szCs w:val="24"/>
        </w:rPr>
        <w:t xml:space="preserve"> no </w:t>
      </w:r>
      <w:r w:rsidR="00130C23">
        <w:rPr>
          <w:rFonts w:ascii="Times New Roman" w:hAnsi="Times New Roman"/>
          <w:sz w:val="24"/>
          <w:szCs w:val="24"/>
        </w:rPr>
        <w:t xml:space="preserve">commentary </w:t>
      </w:r>
      <w:r w:rsidR="00841B76">
        <w:rPr>
          <w:rFonts w:ascii="Times New Roman" w:hAnsi="Times New Roman"/>
          <w:sz w:val="24"/>
          <w:szCs w:val="24"/>
        </w:rPr>
        <w:t xml:space="preserve">suggesting that Texas utilities’ authorized </w:t>
      </w:r>
      <w:r w:rsidR="00130C23">
        <w:rPr>
          <w:rFonts w:ascii="Times New Roman" w:hAnsi="Times New Roman"/>
          <w:sz w:val="24"/>
          <w:szCs w:val="24"/>
        </w:rPr>
        <w:t>ROE</w:t>
      </w:r>
      <w:r w:rsidR="00841B76">
        <w:rPr>
          <w:rFonts w:ascii="Times New Roman" w:hAnsi="Times New Roman"/>
          <w:sz w:val="24"/>
          <w:szCs w:val="24"/>
        </w:rPr>
        <w:t>s</w:t>
      </w:r>
      <w:r w:rsidR="00130C23">
        <w:rPr>
          <w:rFonts w:ascii="Times New Roman" w:hAnsi="Times New Roman"/>
          <w:sz w:val="24"/>
          <w:szCs w:val="24"/>
        </w:rPr>
        <w:t xml:space="preserve"> </w:t>
      </w:r>
      <w:r w:rsidR="00841B76">
        <w:rPr>
          <w:rFonts w:ascii="Times New Roman" w:hAnsi="Times New Roman"/>
          <w:sz w:val="24"/>
          <w:szCs w:val="24"/>
        </w:rPr>
        <w:t xml:space="preserve">are </w:t>
      </w:r>
      <w:r w:rsidR="00130C23">
        <w:rPr>
          <w:rFonts w:ascii="Times New Roman" w:hAnsi="Times New Roman"/>
          <w:sz w:val="24"/>
          <w:szCs w:val="24"/>
        </w:rPr>
        <w:t xml:space="preserve">lower than </w:t>
      </w:r>
      <w:r w:rsidR="00531D7C">
        <w:rPr>
          <w:rFonts w:ascii="Times New Roman" w:hAnsi="Times New Roman"/>
          <w:sz w:val="24"/>
          <w:szCs w:val="24"/>
        </w:rPr>
        <w:t xml:space="preserve">those </w:t>
      </w:r>
      <w:r w:rsidR="00841B76">
        <w:rPr>
          <w:rFonts w:ascii="Times New Roman" w:hAnsi="Times New Roman"/>
          <w:sz w:val="24"/>
          <w:szCs w:val="24"/>
        </w:rPr>
        <w:t>in</w:t>
      </w:r>
      <w:r w:rsidR="00531D7C">
        <w:rPr>
          <w:rFonts w:ascii="Times New Roman" w:hAnsi="Times New Roman"/>
          <w:sz w:val="24"/>
          <w:szCs w:val="24"/>
        </w:rPr>
        <w:t xml:space="preserve"> </w:t>
      </w:r>
      <w:r w:rsidR="00130C23">
        <w:rPr>
          <w:rFonts w:ascii="Times New Roman" w:hAnsi="Times New Roman"/>
          <w:sz w:val="24"/>
          <w:szCs w:val="24"/>
        </w:rPr>
        <w:t>other jurisdictions.</w:t>
      </w:r>
    </w:p>
    <w:p w14:paraId="3F1814E7" w14:textId="4C367687" w:rsidR="00FC4ECB" w:rsidRDefault="00D25B1F" w:rsidP="00E91C38">
      <w:pPr>
        <w:pStyle w:val="PlainText"/>
        <w:tabs>
          <w:tab w:val="left" w:pos="720"/>
          <w:tab w:val="left" w:pos="1080"/>
        </w:tabs>
        <w:spacing w:after="120" w:line="480" w:lineRule="auto"/>
        <w:ind w:left="720" w:hanging="7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D1232">
        <w:rPr>
          <w:rFonts w:ascii="Times New Roman" w:hAnsi="Times New Roman"/>
          <w:sz w:val="24"/>
          <w:szCs w:val="24"/>
        </w:rPr>
        <w:t xml:space="preserve">In fact, </w:t>
      </w:r>
      <w:r w:rsidR="003A5C64">
        <w:rPr>
          <w:rFonts w:ascii="Times New Roman" w:hAnsi="Times New Roman"/>
          <w:sz w:val="24"/>
          <w:szCs w:val="24"/>
        </w:rPr>
        <w:t>the Fitch Report</w:t>
      </w:r>
      <w:r w:rsidR="00E34ED7">
        <w:rPr>
          <w:rFonts w:ascii="Times New Roman" w:hAnsi="Times New Roman"/>
          <w:sz w:val="24"/>
          <w:szCs w:val="24"/>
        </w:rPr>
        <w:t>,</w:t>
      </w:r>
      <w:r w:rsidR="003A5C64">
        <w:rPr>
          <w:rFonts w:ascii="Times New Roman" w:hAnsi="Times New Roman"/>
          <w:sz w:val="24"/>
          <w:szCs w:val="24"/>
        </w:rPr>
        <w:t xml:space="preserve"> </w:t>
      </w:r>
      <w:r w:rsidR="00E34ED7">
        <w:rPr>
          <w:rFonts w:ascii="Times New Roman" w:hAnsi="Times New Roman"/>
          <w:sz w:val="24"/>
          <w:szCs w:val="24"/>
        </w:rPr>
        <w:t>while echoing S&amp;P</w:t>
      </w:r>
      <w:r w:rsidR="00095D60">
        <w:rPr>
          <w:rFonts w:ascii="Times New Roman" w:hAnsi="Times New Roman"/>
          <w:sz w:val="24"/>
          <w:szCs w:val="24"/>
        </w:rPr>
        <w:t>’s</w:t>
      </w:r>
      <w:r w:rsidR="00E34ED7">
        <w:rPr>
          <w:rFonts w:ascii="Times New Roman" w:hAnsi="Times New Roman"/>
          <w:sz w:val="24"/>
          <w:szCs w:val="24"/>
        </w:rPr>
        <w:t xml:space="preserve"> and Moody’s positive view about </w:t>
      </w:r>
      <w:r w:rsidR="00095D60">
        <w:rPr>
          <w:rFonts w:ascii="Times New Roman" w:hAnsi="Times New Roman"/>
          <w:sz w:val="24"/>
          <w:szCs w:val="24"/>
        </w:rPr>
        <w:t xml:space="preserve">the </w:t>
      </w:r>
      <w:r w:rsidR="00E34ED7">
        <w:rPr>
          <w:rFonts w:ascii="Times New Roman" w:hAnsi="Times New Roman"/>
          <w:sz w:val="24"/>
          <w:szCs w:val="24"/>
        </w:rPr>
        <w:t>Interim TCOS and DCRF mechanisms, further indicates that those mechanisms help CEHE to consistently earn near its authorized ROE of 10%.</w:t>
      </w:r>
    </w:p>
    <w:p w14:paraId="727303D8" w14:textId="7F25F6CD" w:rsidR="007A67C0" w:rsidRPr="00FF7CA4" w:rsidRDefault="00FC4ECB" w:rsidP="00E91C38">
      <w:pPr>
        <w:pStyle w:val="PlainText"/>
        <w:tabs>
          <w:tab w:val="left" w:pos="720"/>
          <w:tab w:val="left" w:pos="1080"/>
        </w:tabs>
        <w:spacing w:after="120" w:line="480" w:lineRule="auto"/>
        <w:ind w:left="720" w:hanging="7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Finally, </w:t>
      </w:r>
      <w:r w:rsidR="00FC589C">
        <w:rPr>
          <w:rFonts w:ascii="Times New Roman" w:hAnsi="Times New Roman"/>
          <w:sz w:val="24"/>
          <w:szCs w:val="24"/>
        </w:rPr>
        <w:t>the most</w:t>
      </w:r>
      <w:r w:rsidR="0079253F">
        <w:rPr>
          <w:rFonts w:ascii="Times New Roman" w:hAnsi="Times New Roman"/>
          <w:sz w:val="24"/>
          <w:szCs w:val="24"/>
        </w:rPr>
        <w:t xml:space="preserve"> </w:t>
      </w:r>
      <w:r w:rsidR="00FC589C">
        <w:rPr>
          <w:rFonts w:ascii="Times New Roman" w:hAnsi="Times New Roman"/>
          <w:sz w:val="24"/>
          <w:szCs w:val="24"/>
        </w:rPr>
        <w:t>recent</w:t>
      </w:r>
      <w:r w:rsidR="0079253F">
        <w:rPr>
          <w:rFonts w:ascii="Times New Roman" w:hAnsi="Times New Roman"/>
          <w:sz w:val="24"/>
          <w:szCs w:val="24"/>
        </w:rPr>
        <w:t>ly</w:t>
      </w:r>
      <w:r w:rsidR="00FC589C">
        <w:rPr>
          <w:rFonts w:ascii="Times New Roman" w:hAnsi="Times New Roman"/>
          <w:sz w:val="24"/>
          <w:szCs w:val="24"/>
        </w:rPr>
        <w:t xml:space="preserve"> authorized ROE </w:t>
      </w:r>
      <w:r w:rsidR="00E4124A">
        <w:rPr>
          <w:rFonts w:ascii="Times New Roman" w:hAnsi="Times New Roman"/>
          <w:sz w:val="24"/>
          <w:szCs w:val="24"/>
        </w:rPr>
        <w:t xml:space="preserve">of </w:t>
      </w:r>
      <w:r w:rsidR="007075C4">
        <w:rPr>
          <w:rFonts w:ascii="Times New Roman" w:hAnsi="Times New Roman"/>
          <w:sz w:val="24"/>
          <w:szCs w:val="24"/>
        </w:rPr>
        <w:t>9.65%</w:t>
      </w:r>
      <w:r w:rsidR="007075C4" w:rsidRPr="000D0611">
        <w:rPr>
          <w:rStyle w:val="FootnoteReference"/>
          <w:rFonts w:ascii="Times New Roman" w:hAnsi="Times New Roman"/>
          <w:sz w:val="24"/>
          <w:szCs w:val="24"/>
        </w:rPr>
        <w:footnoteReference w:id="30"/>
      </w:r>
      <w:r w:rsidR="007075C4">
        <w:rPr>
          <w:rFonts w:ascii="Times New Roman" w:hAnsi="Times New Roman"/>
          <w:sz w:val="24"/>
          <w:szCs w:val="24"/>
        </w:rPr>
        <w:t xml:space="preserve"> </w:t>
      </w:r>
      <w:r w:rsidR="00FC589C">
        <w:rPr>
          <w:rFonts w:ascii="Times New Roman" w:hAnsi="Times New Roman"/>
          <w:sz w:val="24"/>
          <w:szCs w:val="24"/>
        </w:rPr>
        <w:t>for a TDU in Texas</w:t>
      </w:r>
      <w:r w:rsidR="00E4124A">
        <w:rPr>
          <w:rFonts w:ascii="Times New Roman" w:hAnsi="Times New Roman"/>
          <w:sz w:val="24"/>
          <w:szCs w:val="24"/>
        </w:rPr>
        <w:t xml:space="preserve"> </w:t>
      </w:r>
      <w:r w:rsidR="00FC589C">
        <w:rPr>
          <w:rFonts w:ascii="Times New Roman" w:hAnsi="Times New Roman"/>
          <w:sz w:val="24"/>
          <w:szCs w:val="24"/>
        </w:rPr>
        <w:t>(</w:t>
      </w:r>
      <w:r w:rsidR="00E4124A">
        <w:rPr>
          <w:rFonts w:ascii="Times New Roman" w:hAnsi="Times New Roman"/>
          <w:sz w:val="24"/>
          <w:szCs w:val="24"/>
        </w:rPr>
        <w:t xml:space="preserve">i.e., </w:t>
      </w:r>
      <w:r w:rsidR="00FC589C">
        <w:rPr>
          <w:rFonts w:ascii="Times New Roman" w:hAnsi="Times New Roman"/>
          <w:sz w:val="24"/>
          <w:szCs w:val="24"/>
        </w:rPr>
        <w:t>Texas New Mexico Power Company</w:t>
      </w:r>
      <w:r w:rsidR="00B3276F">
        <w:rPr>
          <w:rFonts w:ascii="Times New Roman" w:hAnsi="Times New Roman"/>
          <w:sz w:val="24"/>
          <w:szCs w:val="24"/>
        </w:rPr>
        <w:t>’s</w:t>
      </w:r>
      <w:r w:rsidR="00E4124A">
        <w:rPr>
          <w:rFonts w:ascii="Times New Roman" w:hAnsi="Times New Roman"/>
          <w:sz w:val="24"/>
          <w:szCs w:val="24"/>
        </w:rPr>
        <w:t xml:space="preserve"> authorized ROE in 2018</w:t>
      </w:r>
      <w:r w:rsidR="007075C4">
        <w:rPr>
          <w:rFonts w:ascii="Times New Roman" w:hAnsi="Times New Roman"/>
          <w:sz w:val="24"/>
          <w:szCs w:val="24"/>
        </w:rPr>
        <w:t>),</w:t>
      </w:r>
      <w:r w:rsidR="00BC4F43" w:rsidRPr="00BC4F43">
        <w:rPr>
          <w:rFonts w:ascii="Times New Roman" w:hAnsi="Times New Roman"/>
          <w:sz w:val="24"/>
          <w:szCs w:val="24"/>
        </w:rPr>
        <w:t xml:space="preserve"> </w:t>
      </w:r>
      <w:r w:rsidR="00FC589C">
        <w:rPr>
          <w:rFonts w:ascii="Times New Roman" w:hAnsi="Times New Roman"/>
          <w:sz w:val="24"/>
          <w:szCs w:val="24"/>
        </w:rPr>
        <w:t xml:space="preserve">is higher than the </w:t>
      </w:r>
      <w:r w:rsidR="007F49C1" w:rsidRPr="007F49C1">
        <w:rPr>
          <w:rFonts w:ascii="Times New Roman" w:hAnsi="Times New Roman"/>
          <w:sz w:val="24"/>
          <w:szCs w:val="24"/>
        </w:rPr>
        <w:t>average authorized ROE of 9.</w:t>
      </w:r>
      <w:r w:rsidR="007F49C1">
        <w:rPr>
          <w:rFonts w:ascii="Times New Roman" w:hAnsi="Times New Roman"/>
          <w:sz w:val="24"/>
          <w:szCs w:val="24"/>
        </w:rPr>
        <w:t>38</w:t>
      </w:r>
      <w:r w:rsidR="007F49C1" w:rsidRPr="007F49C1">
        <w:rPr>
          <w:rFonts w:ascii="Times New Roman" w:hAnsi="Times New Roman"/>
          <w:sz w:val="24"/>
          <w:szCs w:val="24"/>
        </w:rPr>
        <w:t xml:space="preserve">% for delivery-only </w:t>
      </w:r>
      <w:r w:rsidR="00561132">
        <w:rPr>
          <w:rFonts w:ascii="Times New Roman" w:hAnsi="Times New Roman"/>
          <w:sz w:val="24"/>
          <w:szCs w:val="24"/>
        </w:rPr>
        <w:t xml:space="preserve">electric utilities </w:t>
      </w:r>
      <w:r w:rsidR="007F49C1" w:rsidRPr="007F49C1">
        <w:rPr>
          <w:rFonts w:ascii="Times New Roman" w:hAnsi="Times New Roman"/>
          <w:sz w:val="24"/>
          <w:szCs w:val="24"/>
        </w:rPr>
        <w:t xml:space="preserve">in other jurisdictions </w:t>
      </w:r>
      <w:r w:rsidR="00117A35">
        <w:rPr>
          <w:rFonts w:ascii="Times New Roman" w:hAnsi="Times New Roman"/>
          <w:sz w:val="24"/>
          <w:szCs w:val="24"/>
        </w:rPr>
        <w:t xml:space="preserve">in 2018 </w:t>
      </w:r>
      <w:r w:rsidR="007F49C1" w:rsidRPr="007F49C1">
        <w:rPr>
          <w:rFonts w:ascii="Times New Roman" w:hAnsi="Times New Roman"/>
          <w:sz w:val="24"/>
          <w:szCs w:val="24"/>
        </w:rPr>
        <w:t xml:space="preserve">as published by </w:t>
      </w:r>
      <w:r w:rsidR="00621602">
        <w:rPr>
          <w:rFonts w:ascii="Times New Roman" w:hAnsi="Times New Roman"/>
          <w:sz w:val="24"/>
          <w:szCs w:val="24"/>
        </w:rPr>
        <w:t xml:space="preserve">the </w:t>
      </w:r>
      <w:r w:rsidR="00621602" w:rsidRPr="00621602">
        <w:rPr>
          <w:rFonts w:ascii="Times New Roman" w:hAnsi="Times New Roman"/>
          <w:sz w:val="24"/>
          <w:szCs w:val="24"/>
        </w:rPr>
        <w:t>1Q-2019 S&amp;P Global Market Intelligence RRA Report</w:t>
      </w:r>
      <w:r w:rsidR="00621602">
        <w:rPr>
          <w:rFonts w:ascii="Times New Roman" w:hAnsi="Times New Roman"/>
          <w:sz w:val="24"/>
          <w:szCs w:val="24"/>
        </w:rPr>
        <w:t>.</w:t>
      </w:r>
      <w:r w:rsidR="000E5F24">
        <w:rPr>
          <w:rFonts w:ascii="Times New Roman" w:hAnsi="Times New Roman"/>
          <w:sz w:val="24"/>
          <w:szCs w:val="24"/>
        </w:rPr>
        <w:tab/>
      </w:r>
    </w:p>
    <w:p w14:paraId="69FDDED4" w14:textId="063828C4" w:rsidR="00141DE7" w:rsidRDefault="00141DE7" w:rsidP="00141DE7">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Pr>
          <w:rFonts w:ascii="Times New Roman" w:hAnsi="Times New Roman"/>
          <w:b/>
          <w:sz w:val="24"/>
          <w:szCs w:val="24"/>
        </w:rPr>
        <w:tab/>
        <w:t xml:space="preserve">Please address the second </w:t>
      </w:r>
      <w:r w:rsidR="00E105AD">
        <w:rPr>
          <w:rFonts w:ascii="Times New Roman" w:hAnsi="Times New Roman"/>
          <w:b/>
          <w:sz w:val="24"/>
          <w:szCs w:val="24"/>
        </w:rPr>
        <w:t>argument</w:t>
      </w:r>
      <w:r>
        <w:rPr>
          <w:rFonts w:ascii="Times New Roman" w:hAnsi="Times New Roman"/>
          <w:b/>
          <w:sz w:val="24"/>
          <w:szCs w:val="24"/>
        </w:rPr>
        <w:t xml:space="preserve"> (i.e., </w:t>
      </w:r>
      <w:r w:rsidRPr="00141DE7">
        <w:rPr>
          <w:rFonts w:ascii="Times New Roman" w:hAnsi="Times New Roman"/>
          <w:b/>
          <w:sz w:val="24"/>
          <w:szCs w:val="24"/>
        </w:rPr>
        <w:t xml:space="preserve">CEHE’s need for a capital structure that supports an A- </w:t>
      </w:r>
      <w:r w:rsidR="00D415AA">
        <w:rPr>
          <w:rFonts w:ascii="Times New Roman" w:hAnsi="Times New Roman"/>
          <w:b/>
          <w:sz w:val="24"/>
          <w:szCs w:val="24"/>
        </w:rPr>
        <w:t>i</w:t>
      </w:r>
      <w:r w:rsidRPr="00141DE7">
        <w:rPr>
          <w:rFonts w:ascii="Times New Roman" w:hAnsi="Times New Roman"/>
          <w:b/>
          <w:sz w:val="24"/>
          <w:szCs w:val="24"/>
        </w:rPr>
        <w:t xml:space="preserve">ssuer </w:t>
      </w:r>
      <w:r w:rsidR="00D415AA">
        <w:rPr>
          <w:rFonts w:ascii="Times New Roman" w:hAnsi="Times New Roman"/>
          <w:b/>
          <w:sz w:val="24"/>
          <w:szCs w:val="24"/>
        </w:rPr>
        <w:t>r</w:t>
      </w:r>
      <w:r w:rsidRPr="00141DE7">
        <w:rPr>
          <w:rFonts w:ascii="Times New Roman" w:hAnsi="Times New Roman"/>
          <w:b/>
          <w:sz w:val="24"/>
          <w:szCs w:val="24"/>
        </w:rPr>
        <w:t>ating</w:t>
      </w:r>
      <w:r>
        <w:rPr>
          <w:rFonts w:ascii="Times New Roman" w:hAnsi="Times New Roman"/>
          <w:b/>
          <w:sz w:val="24"/>
          <w:szCs w:val="24"/>
        </w:rPr>
        <w:t>)</w:t>
      </w:r>
      <w:r w:rsidR="00A02CAA">
        <w:rPr>
          <w:rFonts w:ascii="Times New Roman" w:hAnsi="Times New Roman"/>
          <w:b/>
          <w:sz w:val="24"/>
          <w:szCs w:val="24"/>
        </w:rPr>
        <w:t>.</w:t>
      </w:r>
    </w:p>
    <w:p w14:paraId="4C82870B" w14:textId="2F1C3B4C" w:rsidR="009C3F51" w:rsidRDefault="00141DE7" w:rsidP="00141DE7">
      <w:pPr>
        <w:pStyle w:val="PlainText"/>
        <w:tabs>
          <w:tab w:val="left" w:pos="720"/>
          <w:tab w:val="left" w:pos="1080"/>
        </w:tabs>
        <w:spacing w:after="120" w:line="480" w:lineRule="auto"/>
        <w:ind w:left="720" w:hanging="720"/>
        <w:jc w:val="both"/>
        <w:rPr>
          <w:rFonts w:ascii="Times New Roman" w:hAnsi="Times New Roman"/>
          <w:sz w:val="24"/>
          <w:szCs w:val="24"/>
        </w:rPr>
      </w:pPr>
      <w:r w:rsidRPr="00FF7CA4">
        <w:rPr>
          <w:rFonts w:ascii="Times New Roman" w:hAnsi="Times New Roman"/>
          <w:sz w:val="24"/>
          <w:szCs w:val="24"/>
        </w:rPr>
        <w:t>A.</w:t>
      </w:r>
      <w:r w:rsidRPr="00FF7CA4">
        <w:rPr>
          <w:rFonts w:ascii="Times New Roman" w:hAnsi="Times New Roman"/>
          <w:sz w:val="24"/>
          <w:szCs w:val="24"/>
        </w:rPr>
        <w:tab/>
      </w:r>
      <w:r w:rsidR="001C2857" w:rsidRPr="001C2857">
        <w:rPr>
          <w:rFonts w:ascii="Times New Roman" w:hAnsi="Times New Roman"/>
          <w:sz w:val="24"/>
          <w:szCs w:val="24"/>
        </w:rPr>
        <w:t>I do not agree with the Company</w:t>
      </w:r>
      <w:r w:rsidR="008736DC">
        <w:rPr>
          <w:rFonts w:ascii="Times New Roman" w:hAnsi="Times New Roman"/>
          <w:sz w:val="24"/>
          <w:szCs w:val="24"/>
        </w:rPr>
        <w:t xml:space="preserve">’s assertion that </w:t>
      </w:r>
      <w:r w:rsidR="001C2857" w:rsidRPr="001C2857">
        <w:rPr>
          <w:rFonts w:ascii="Times New Roman" w:hAnsi="Times New Roman"/>
          <w:sz w:val="24"/>
          <w:szCs w:val="24"/>
        </w:rPr>
        <w:t xml:space="preserve">the Commission </w:t>
      </w:r>
      <w:r w:rsidR="008736DC">
        <w:rPr>
          <w:rFonts w:ascii="Times New Roman" w:hAnsi="Times New Roman"/>
          <w:sz w:val="24"/>
          <w:szCs w:val="24"/>
        </w:rPr>
        <w:t xml:space="preserve">should provide </w:t>
      </w:r>
      <w:r w:rsidR="001C2857" w:rsidRPr="001C2857">
        <w:rPr>
          <w:rFonts w:ascii="Times New Roman" w:hAnsi="Times New Roman"/>
          <w:sz w:val="24"/>
          <w:szCs w:val="24"/>
        </w:rPr>
        <w:t xml:space="preserve">extraordinary relief in helping CEHE maintain an A- </w:t>
      </w:r>
      <w:r w:rsidR="008736DC">
        <w:rPr>
          <w:rFonts w:ascii="Times New Roman" w:hAnsi="Times New Roman"/>
          <w:sz w:val="24"/>
          <w:szCs w:val="24"/>
        </w:rPr>
        <w:t xml:space="preserve">issuer </w:t>
      </w:r>
      <w:r w:rsidR="001C2857" w:rsidRPr="001C2857">
        <w:rPr>
          <w:rFonts w:ascii="Times New Roman" w:hAnsi="Times New Roman"/>
          <w:sz w:val="24"/>
          <w:szCs w:val="24"/>
        </w:rPr>
        <w:t>rating</w:t>
      </w:r>
      <w:r w:rsidR="001C2857">
        <w:rPr>
          <w:rFonts w:ascii="Times New Roman" w:hAnsi="Times New Roman"/>
          <w:sz w:val="24"/>
          <w:szCs w:val="24"/>
        </w:rPr>
        <w:t xml:space="preserve">. </w:t>
      </w:r>
      <w:r w:rsidR="001C2857" w:rsidRPr="001C2857">
        <w:rPr>
          <w:rFonts w:ascii="Times New Roman" w:hAnsi="Times New Roman"/>
          <w:sz w:val="24"/>
          <w:szCs w:val="24"/>
        </w:rPr>
        <w:t xml:space="preserve"> </w:t>
      </w:r>
      <w:r w:rsidR="001C2857">
        <w:rPr>
          <w:rFonts w:ascii="Times New Roman" w:hAnsi="Times New Roman"/>
          <w:sz w:val="24"/>
          <w:szCs w:val="24"/>
        </w:rPr>
        <w:t>As pointed out previously by Staff,</w:t>
      </w:r>
      <w:r w:rsidR="00E105AD" w:rsidRPr="000D0611">
        <w:rPr>
          <w:rStyle w:val="FootnoteReference"/>
          <w:rFonts w:ascii="Times New Roman" w:hAnsi="Times New Roman"/>
          <w:sz w:val="24"/>
          <w:szCs w:val="24"/>
        </w:rPr>
        <w:footnoteReference w:id="31"/>
      </w:r>
      <w:r w:rsidR="001C2857">
        <w:rPr>
          <w:rFonts w:ascii="Times New Roman" w:hAnsi="Times New Roman"/>
          <w:sz w:val="24"/>
          <w:szCs w:val="24"/>
        </w:rPr>
        <w:t xml:space="preserve"> I believe that</w:t>
      </w:r>
      <w:r w:rsidR="00001A28">
        <w:rPr>
          <w:rFonts w:ascii="Times New Roman" w:hAnsi="Times New Roman"/>
          <w:sz w:val="24"/>
          <w:szCs w:val="24"/>
        </w:rPr>
        <w:t>, at a high level,</w:t>
      </w:r>
      <w:r w:rsidR="001C2857">
        <w:rPr>
          <w:rFonts w:ascii="Times New Roman" w:hAnsi="Times New Roman"/>
          <w:sz w:val="24"/>
          <w:szCs w:val="24"/>
        </w:rPr>
        <w:t xml:space="preserve"> it is the Commission’s function to set just and reasonable rates based on PURA and the Commission’s rules, and that it is the responsibility of CEHE’s management to conduct operations in a manner that maintains its investment</w:t>
      </w:r>
      <w:r w:rsidR="00BC30E0">
        <w:rPr>
          <w:rFonts w:ascii="Times New Roman" w:hAnsi="Times New Roman"/>
          <w:sz w:val="24"/>
          <w:szCs w:val="24"/>
        </w:rPr>
        <w:t>-</w:t>
      </w:r>
      <w:r w:rsidR="001C2857">
        <w:rPr>
          <w:rFonts w:ascii="Times New Roman" w:hAnsi="Times New Roman"/>
          <w:sz w:val="24"/>
          <w:szCs w:val="24"/>
        </w:rPr>
        <w:t>grade rating and enhances overall creditworthiness.</w:t>
      </w:r>
    </w:p>
    <w:p w14:paraId="05FC40D8" w14:textId="7C8DCF0D" w:rsidR="00001A28" w:rsidRDefault="00001A28" w:rsidP="00141DE7">
      <w:pPr>
        <w:pStyle w:val="PlainText"/>
        <w:tabs>
          <w:tab w:val="left" w:pos="720"/>
          <w:tab w:val="left" w:pos="1080"/>
        </w:tabs>
        <w:spacing w:after="120" w:line="480" w:lineRule="auto"/>
        <w:ind w:left="720" w:hanging="720"/>
        <w:jc w:val="both"/>
        <w:rPr>
          <w:rFonts w:ascii="Times New Roman" w:hAnsi="Times New Roman"/>
          <w:sz w:val="24"/>
          <w:szCs w:val="24"/>
        </w:rPr>
      </w:pPr>
      <w:r>
        <w:rPr>
          <w:rFonts w:ascii="Times New Roman" w:hAnsi="Times New Roman"/>
          <w:sz w:val="24"/>
          <w:szCs w:val="24"/>
        </w:rPr>
        <w:tab/>
      </w:r>
      <w:r w:rsidR="007C326F">
        <w:rPr>
          <w:rFonts w:ascii="Times New Roman" w:hAnsi="Times New Roman"/>
          <w:sz w:val="24"/>
          <w:szCs w:val="24"/>
        </w:rPr>
        <w:tab/>
      </w:r>
      <w:r w:rsidR="001763A5">
        <w:rPr>
          <w:rFonts w:ascii="Times New Roman" w:hAnsi="Times New Roman"/>
          <w:sz w:val="24"/>
          <w:szCs w:val="24"/>
        </w:rPr>
        <w:tab/>
      </w:r>
      <w:r w:rsidR="00AD430A">
        <w:rPr>
          <w:rFonts w:ascii="Times New Roman" w:hAnsi="Times New Roman"/>
          <w:sz w:val="24"/>
          <w:szCs w:val="24"/>
        </w:rPr>
        <w:t>I concur with Staff’s past opinion</w:t>
      </w:r>
      <w:r w:rsidR="00F8728E" w:rsidRPr="000D0611">
        <w:rPr>
          <w:rStyle w:val="FootnoteReference"/>
          <w:rFonts w:ascii="Times New Roman" w:hAnsi="Times New Roman"/>
          <w:sz w:val="24"/>
          <w:szCs w:val="24"/>
        </w:rPr>
        <w:footnoteReference w:id="32"/>
      </w:r>
      <w:r w:rsidR="00F8728E">
        <w:rPr>
          <w:rFonts w:ascii="Times New Roman" w:hAnsi="Times New Roman"/>
          <w:sz w:val="24"/>
          <w:szCs w:val="24"/>
        </w:rPr>
        <w:t xml:space="preserve"> </w:t>
      </w:r>
      <w:r w:rsidR="00AD430A">
        <w:rPr>
          <w:rFonts w:ascii="Times New Roman" w:hAnsi="Times New Roman"/>
          <w:sz w:val="24"/>
          <w:szCs w:val="24"/>
        </w:rPr>
        <w:t xml:space="preserve"> that</w:t>
      </w:r>
      <w:r>
        <w:rPr>
          <w:rFonts w:ascii="Times New Roman" w:hAnsi="Times New Roman"/>
          <w:sz w:val="24"/>
          <w:szCs w:val="24"/>
        </w:rPr>
        <w:t xml:space="preserve"> i</w:t>
      </w:r>
      <w:r w:rsidRPr="00001A28">
        <w:rPr>
          <w:rFonts w:ascii="Times New Roman" w:hAnsi="Times New Roman"/>
          <w:sz w:val="24"/>
          <w:szCs w:val="24"/>
        </w:rPr>
        <w:t xml:space="preserve">t is not the role of regulation to serve as a guarantor of a particular utility’s creditworthiness.  As stated in the precedential decision in </w:t>
      </w:r>
      <w:r w:rsidRPr="00001A28">
        <w:rPr>
          <w:rFonts w:ascii="Times New Roman" w:hAnsi="Times New Roman"/>
          <w:i/>
          <w:sz w:val="24"/>
          <w:szCs w:val="24"/>
        </w:rPr>
        <w:t>Bluefield</w:t>
      </w:r>
      <w:r w:rsidRPr="00001A28">
        <w:rPr>
          <w:rFonts w:ascii="Times New Roman" w:hAnsi="Times New Roman"/>
          <w:sz w:val="24"/>
          <w:szCs w:val="24"/>
        </w:rPr>
        <w:t>, “the return</w:t>
      </w:r>
      <w:r w:rsidR="0071348E">
        <w:rPr>
          <w:rFonts w:ascii="Times New Roman" w:hAnsi="Times New Roman"/>
          <w:sz w:val="24"/>
          <w:szCs w:val="24"/>
        </w:rPr>
        <w:t xml:space="preserve"> . . . </w:t>
      </w:r>
      <w:r w:rsidRPr="00001A28">
        <w:rPr>
          <w:rFonts w:ascii="Times New Roman" w:hAnsi="Times New Roman"/>
          <w:sz w:val="24"/>
          <w:szCs w:val="24"/>
        </w:rPr>
        <w:t>should be adequate, under efficient and economical management, to maintain [the</w:t>
      </w:r>
      <w:r w:rsidR="0071348E">
        <w:rPr>
          <w:rFonts w:ascii="Times New Roman" w:hAnsi="Times New Roman"/>
          <w:sz w:val="24"/>
          <w:szCs w:val="24"/>
        </w:rPr>
        <w:t>]</w:t>
      </w:r>
      <w:r w:rsidRPr="00001A28">
        <w:rPr>
          <w:rFonts w:ascii="Times New Roman" w:hAnsi="Times New Roman"/>
          <w:sz w:val="24"/>
          <w:szCs w:val="24"/>
        </w:rPr>
        <w:t xml:space="preserve"> </w:t>
      </w:r>
      <w:r w:rsidR="0071348E">
        <w:rPr>
          <w:rFonts w:ascii="Times New Roman" w:hAnsi="Times New Roman"/>
          <w:sz w:val="24"/>
          <w:szCs w:val="24"/>
        </w:rPr>
        <w:t>[</w:t>
      </w:r>
      <w:r w:rsidRPr="00001A28">
        <w:rPr>
          <w:rFonts w:ascii="Times New Roman" w:hAnsi="Times New Roman"/>
          <w:sz w:val="24"/>
          <w:szCs w:val="24"/>
        </w:rPr>
        <w:t>utility’s] credit and enable it to raise the money necessary for the proper discharge of its public duties.”</w:t>
      </w:r>
      <w:r w:rsidR="0071348E">
        <w:rPr>
          <w:rStyle w:val="FootnoteReference"/>
          <w:rFonts w:ascii="Times New Roman" w:hAnsi="Times New Roman"/>
          <w:sz w:val="24"/>
          <w:szCs w:val="24"/>
        </w:rPr>
        <w:footnoteReference w:id="33"/>
      </w:r>
      <w:r w:rsidRPr="00001A28">
        <w:rPr>
          <w:rFonts w:ascii="Times New Roman" w:hAnsi="Times New Roman"/>
          <w:sz w:val="24"/>
          <w:szCs w:val="24"/>
        </w:rPr>
        <w:t xml:space="preserve">  The long-standing, precedential framework for electric utility regulation assumes that</w:t>
      </w:r>
      <w:r w:rsidR="004D0083">
        <w:rPr>
          <w:rFonts w:ascii="Times New Roman" w:hAnsi="Times New Roman"/>
          <w:sz w:val="24"/>
          <w:szCs w:val="24"/>
        </w:rPr>
        <w:t>,</w:t>
      </w:r>
      <w:r w:rsidRPr="00001A28">
        <w:rPr>
          <w:rFonts w:ascii="Times New Roman" w:hAnsi="Times New Roman"/>
          <w:sz w:val="24"/>
          <w:szCs w:val="24"/>
        </w:rPr>
        <w:t xml:space="preserve"> ultimately</w:t>
      </w:r>
      <w:r w:rsidR="004D0083">
        <w:rPr>
          <w:rFonts w:ascii="Times New Roman" w:hAnsi="Times New Roman"/>
          <w:sz w:val="24"/>
          <w:szCs w:val="24"/>
        </w:rPr>
        <w:t>,</w:t>
      </w:r>
      <w:r w:rsidRPr="00001A28">
        <w:rPr>
          <w:rFonts w:ascii="Times New Roman" w:hAnsi="Times New Roman"/>
          <w:sz w:val="24"/>
          <w:szCs w:val="24"/>
        </w:rPr>
        <w:t xml:space="preserve"> it is the utility’s </w:t>
      </w:r>
      <w:r w:rsidR="004D0083">
        <w:rPr>
          <w:rFonts w:ascii="Times New Roman" w:hAnsi="Times New Roman"/>
          <w:sz w:val="24"/>
          <w:szCs w:val="24"/>
        </w:rPr>
        <w:t>duty</w:t>
      </w:r>
      <w:r w:rsidRPr="00001A28">
        <w:rPr>
          <w:rFonts w:ascii="Times New Roman" w:hAnsi="Times New Roman"/>
          <w:sz w:val="24"/>
          <w:szCs w:val="24"/>
        </w:rPr>
        <w:t xml:space="preserve"> to manage its operations and finances economically and efficiently to maintain its creditworthiness.  Additionally, PURA § 11.002(b) confirms that </w:t>
      </w:r>
      <w:r w:rsidR="007E00B4">
        <w:rPr>
          <w:rFonts w:ascii="Times New Roman" w:hAnsi="Times New Roman"/>
          <w:sz w:val="24"/>
          <w:szCs w:val="24"/>
        </w:rPr>
        <w:t xml:space="preserve">the role of </w:t>
      </w:r>
      <w:r w:rsidRPr="00001A28">
        <w:rPr>
          <w:rFonts w:ascii="Times New Roman" w:hAnsi="Times New Roman"/>
          <w:sz w:val="24"/>
          <w:szCs w:val="24"/>
        </w:rPr>
        <w:t>regulation is to serve “as a substitute for competition,” and in the competitive marketplace it is the responsibility of a company to maintain and effectively manage its own creditworthiness.</w:t>
      </w:r>
      <w:r w:rsidR="00AD430A" w:rsidRPr="000D0611">
        <w:rPr>
          <w:rStyle w:val="FootnoteReference"/>
          <w:rFonts w:ascii="Times New Roman" w:hAnsi="Times New Roman"/>
          <w:sz w:val="24"/>
          <w:szCs w:val="24"/>
        </w:rPr>
        <w:footnoteReference w:id="34"/>
      </w:r>
    </w:p>
    <w:p w14:paraId="55765C16" w14:textId="375CFCD6" w:rsidR="001C1869" w:rsidRDefault="001C1869" w:rsidP="00141DE7">
      <w:pPr>
        <w:pStyle w:val="PlainText"/>
        <w:tabs>
          <w:tab w:val="left" w:pos="720"/>
          <w:tab w:val="left" w:pos="1080"/>
        </w:tabs>
        <w:spacing w:after="120" w:line="480" w:lineRule="auto"/>
        <w:ind w:left="720" w:hanging="720"/>
        <w:jc w:val="both"/>
        <w:rPr>
          <w:rFonts w:ascii="Times New Roman" w:hAnsi="Times New Roman"/>
          <w:sz w:val="24"/>
          <w:szCs w:val="24"/>
        </w:rPr>
      </w:pPr>
      <w:r>
        <w:rPr>
          <w:rFonts w:ascii="Times New Roman" w:hAnsi="Times New Roman"/>
          <w:sz w:val="24"/>
          <w:szCs w:val="24"/>
        </w:rPr>
        <w:tab/>
      </w:r>
      <w:r w:rsidR="001763A5">
        <w:rPr>
          <w:rFonts w:ascii="Times New Roman" w:hAnsi="Times New Roman"/>
          <w:sz w:val="24"/>
          <w:szCs w:val="24"/>
        </w:rPr>
        <w:tab/>
      </w:r>
      <w:r w:rsidR="001763A5">
        <w:rPr>
          <w:rFonts w:ascii="Times New Roman" w:hAnsi="Times New Roman"/>
          <w:sz w:val="24"/>
          <w:szCs w:val="24"/>
        </w:rPr>
        <w:tab/>
      </w:r>
      <w:r w:rsidR="001763A5" w:rsidRPr="00C22458">
        <w:rPr>
          <w:rFonts w:ascii="Times New Roman" w:hAnsi="Times New Roman"/>
          <w:sz w:val="24"/>
          <w:szCs w:val="24"/>
        </w:rPr>
        <w:t>As indicated earlier in my testimony, my recommended return on equity of 9.45%</w:t>
      </w:r>
      <w:r w:rsidR="00C22458" w:rsidRPr="00C22458">
        <w:rPr>
          <w:rFonts w:ascii="Times New Roman" w:hAnsi="Times New Roman"/>
          <w:sz w:val="24"/>
          <w:szCs w:val="24"/>
        </w:rPr>
        <w:t>, which</w:t>
      </w:r>
      <w:r w:rsidR="001763A5" w:rsidRPr="00C22458">
        <w:rPr>
          <w:rFonts w:ascii="Times New Roman" w:hAnsi="Times New Roman"/>
          <w:sz w:val="24"/>
          <w:szCs w:val="24"/>
        </w:rPr>
        <w:t xml:space="preserve"> lies at the midpoint of the upper half of my range of 8.34% to 9.79%</w:t>
      </w:r>
      <w:r w:rsidR="00C22458" w:rsidRPr="00C22458">
        <w:rPr>
          <w:rFonts w:ascii="Times New Roman" w:hAnsi="Times New Roman"/>
          <w:sz w:val="24"/>
          <w:szCs w:val="24"/>
        </w:rPr>
        <w:t>, is based on a comparable group of companies with investment-grade ratings.</w:t>
      </w:r>
      <w:r w:rsidR="000E1A23">
        <w:rPr>
          <w:rFonts w:ascii="Times New Roman" w:hAnsi="Times New Roman"/>
          <w:sz w:val="24"/>
          <w:szCs w:val="24"/>
        </w:rPr>
        <w:t xml:space="preserve"> </w:t>
      </w:r>
    </w:p>
    <w:p w14:paraId="1C571C8E" w14:textId="72C135E4" w:rsidR="001C1869" w:rsidRDefault="001C1869" w:rsidP="001C1869">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Pr>
          <w:rFonts w:ascii="Times New Roman" w:hAnsi="Times New Roman"/>
          <w:b/>
          <w:sz w:val="24"/>
          <w:szCs w:val="24"/>
        </w:rPr>
        <w:t xml:space="preserve">Please address the third </w:t>
      </w:r>
      <w:r w:rsidR="00B90AD3">
        <w:rPr>
          <w:rFonts w:ascii="Times New Roman" w:hAnsi="Times New Roman"/>
          <w:b/>
          <w:sz w:val="24"/>
          <w:szCs w:val="24"/>
        </w:rPr>
        <w:t>argument</w:t>
      </w:r>
      <w:r>
        <w:rPr>
          <w:rFonts w:ascii="Times New Roman" w:hAnsi="Times New Roman"/>
          <w:b/>
          <w:sz w:val="24"/>
          <w:szCs w:val="24"/>
        </w:rPr>
        <w:t xml:space="preserve"> (i.e., </w:t>
      </w:r>
      <w:r w:rsidR="008D51E3">
        <w:rPr>
          <w:rFonts w:ascii="Times New Roman" w:hAnsi="Times New Roman"/>
          <w:b/>
          <w:sz w:val="24"/>
          <w:szCs w:val="24"/>
        </w:rPr>
        <w:t>the c</w:t>
      </w:r>
      <w:r w:rsidRPr="001C1869">
        <w:rPr>
          <w:rFonts w:ascii="Times New Roman" w:hAnsi="Times New Roman"/>
          <w:b/>
          <w:sz w:val="24"/>
          <w:szCs w:val="24"/>
        </w:rPr>
        <w:t>apital structure of comparable companies</w:t>
      </w:r>
      <w:r>
        <w:rPr>
          <w:rFonts w:ascii="Times New Roman" w:hAnsi="Times New Roman"/>
          <w:b/>
          <w:sz w:val="24"/>
          <w:szCs w:val="24"/>
        </w:rPr>
        <w:t>)</w:t>
      </w:r>
      <w:r w:rsidR="00753D89">
        <w:rPr>
          <w:rFonts w:ascii="Times New Roman" w:hAnsi="Times New Roman"/>
          <w:b/>
          <w:sz w:val="24"/>
          <w:szCs w:val="24"/>
        </w:rPr>
        <w:t>.</w:t>
      </w:r>
    </w:p>
    <w:p w14:paraId="65DBEAD5" w14:textId="6DC16649" w:rsidR="006D69BF" w:rsidRDefault="001C1869" w:rsidP="006D69BF">
      <w:pPr>
        <w:pStyle w:val="PlainText"/>
        <w:tabs>
          <w:tab w:val="left" w:pos="720"/>
          <w:tab w:val="left" w:pos="1080"/>
        </w:tabs>
        <w:spacing w:after="120" w:line="480" w:lineRule="auto"/>
        <w:ind w:left="720" w:hanging="720"/>
        <w:jc w:val="both"/>
        <w:rPr>
          <w:rFonts w:ascii="Times New Roman" w:hAnsi="Times New Roman"/>
          <w:sz w:val="24"/>
          <w:szCs w:val="24"/>
        </w:rPr>
      </w:pPr>
      <w:r w:rsidRPr="00FF7CA4">
        <w:rPr>
          <w:rFonts w:ascii="Times New Roman" w:hAnsi="Times New Roman"/>
          <w:sz w:val="24"/>
          <w:szCs w:val="24"/>
        </w:rPr>
        <w:t>A.</w:t>
      </w:r>
      <w:r w:rsidRPr="00FF7CA4">
        <w:rPr>
          <w:rFonts w:ascii="Times New Roman" w:hAnsi="Times New Roman"/>
          <w:sz w:val="24"/>
          <w:szCs w:val="24"/>
        </w:rPr>
        <w:tab/>
      </w:r>
      <w:r w:rsidR="006D69BF">
        <w:rPr>
          <w:rFonts w:ascii="Times New Roman" w:hAnsi="Times New Roman"/>
          <w:sz w:val="24"/>
          <w:szCs w:val="24"/>
        </w:rPr>
        <w:t>Mr. McRae point</w:t>
      </w:r>
      <w:r w:rsidR="00B90AD3">
        <w:rPr>
          <w:rFonts w:ascii="Times New Roman" w:hAnsi="Times New Roman"/>
          <w:sz w:val="24"/>
          <w:szCs w:val="24"/>
        </w:rPr>
        <w:t>s</w:t>
      </w:r>
      <w:r w:rsidR="006D69BF">
        <w:rPr>
          <w:rFonts w:ascii="Times New Roman" w:hAnsi="Times New Roman"/>
          <w:sz w:val="24"/>
          <w:szCs w:val="24"/>
        </w:rPr>
        <w:t xml:space="preserve"> out that the average equity ratio of the companies in Mr. </w:t>
      </w:r>
      <w:proofErr w:type="spellStart"/>
      <w:r w:rsidR="006D69BF">
        <w:rPr>
          <w:rFonts w:ascii="Times New Roman" w:hAnsi="Times New Roman"/>
          <w:sz w:val="24"/>
          <w:szCs w:val="24"/>
        </w:rPr>
        <w:t>Hevert’s</w:t>
      </w:r>
      <w:proofErr w:type="spellEnd"/>
      <w:r w:rsidR="006D69BF">
        <w:rPr>
          <w:rFonts w:ascii="Times New Roman" w:hAnsi="Times New Roman"/>
          <w:sz w:val="24"/>
          <w:szCs w:val="24"/>
        </w:rPr>
        <w:t xml:space="preserve"> proxy group</w:t>
      </w:r>
      <w:r w:rsidR="00B75534">
        <w:rPr>
          <w:rFonts w:ascii="Times New Roman" w:hAnsi="Times New Roman"/>
          <w:sz w:val="24"/>
          <w:szCs w:val="24"/>
        </w:rPr>
        <w:t>, which include</w:t>
      </w:r>
      <w:r w:rsidR="00EA28A0">
        <w:rPr>
          <w:rFonts w:ascii="Times New Roman" w:hAnsi="Times New Roman"/>
          <w:sz w:val="24"/>
          <w:szCs w:val="24"/>
        </w:rPr>
        <w:t>s</w:t>
      </w:r>
      <w:r w:rsidR="00B75534">
        <w:rPr>
          <w:rFonts w:ascii="Times New Roman" w:hAnsi="Times New Roman"/>
          <w:sz w:val="24"/>
          <w:szCs w:val="24"/>
        </w:rPr>
        <w:t xml:space="preserve"> vertically integrated utilities,</w:t>
      </w:r>
      <w:r w:rsidR="006D69BF">
        <w:rPr>
          <w:rFonts w:ascii="Times New Roman" w:hAnsi="Times New Roman"/>
          <w:sz w:val="24"/>
          <w:szCs w:val="24"/>
        </w:rPr>
        <w:t xml:space="preserve"> </w:t>
      </w:r>
      <w:r w:rsidR="00B90AD3">
        <w:rPr>
          <w:rFonts w:ascii="Times New Roman" w:hAnsi="Times New Roman"/>
          <w:sz w:val="24"/>
          <w:szCs w:val="24"/>
        </w:rPr>
        <w:t>is</w:t>
      </w:r>
      <w:r w:rsidR="006D69BF">
        <w:rPr>
          <w:rFonts w:ascii="Times New Roman" w:hAnsi="Times New Roman"/>
          <w:sz w:val="24"/>
          <w:szCs w:val="24"/>
        </w:rPr>
        <w:t xml:space="preserve"> approximately 53%.</w:t>
      </w:r>
      <w:r w:rsidR="00360EEA" w:rsidRPr="003C208D">
        <w:rPr>
          <w:rStyle w:val="FootnoteReference"/>
          <w:rFonts w:ascii="Times New Roman" w:hAnsi="Times New Roman"/>
          <w:sz w:val="24"/>
          <w:szCs w:val="24"/>
        </w:rPr>
        <w:footnoteReference w:id="35"/>
      </w:r>
      <w:r w:rsidR="00673950">
        <w:rPr>
          <w:rFonts w:ascii="Times New Roman" w:hAnsi="Times New Roman"/>
          <w:sz w:val="24"/>
          <w:szCs w:val="24"/>
        </w:rPr>
        <w:t xml:space="preserve"> </w:t>
      </w:r>
      <w:r w:rsidR="006D69BF">
        <w:rPr>
          <w:rFonts w:ascii="Times New Roman" w:hAnsi="Times New Roman"/>
          <w:sz w:val="24"/>
          <w:szCs w:val="24"/>
        </w:rPr>
        <w:t xml:space="preserve"> He also point</w:t>
      </w:r>
      <w:r w:rsidR="006F4C78">
        <w:rPr>
          <w:rFonts w:ascii="Times New Roman" w:hAnsi="Times New Roman"/>
          <w:sz w:val="24"/>
          <w:szCs w:val="24"/>
        </w:rPr>
        <w:t>s</w:t>
      </w:r>
      <w:r w:rsidR="006D69BF">
        <w:rPr>
          <w:rFonts w:ascii="Times New Roman" w:hAnsi="Times New Roman"/>
          <w:sz w:val="24"/>
          <w:szCs w:val="24"/>
        </w:rPr>
        <w:t xml:space="preserve"> out that</w:t>
      </w:r>
      <w:r w:rsidR="00977D26">
        <w:rPr>
          <w:rFonts w:ascii="Times New Roman" w:hAnsi="Times New Roman"/>
          <w:sz w:val="24"/>
          <w:szCs w:val="24"/>
        </w:rPr>
        <w:t>,</w:t>
      </w:r>
      <w:r w:rsidR="006D69BF">
        <w:rPr>
          <w:rFonts w:ascii="Times New Roman" w:hAnsi="Times New Roman"/>
          <w:sz w:val="24"/>
          <w:szCs w:val="24"/>
        </w:rPr>
        <w:t xml:space="preserve"> </w:t>
      </w:r>
      <w:r w:rsidR="00B81BC3">
        <w:rPr>
          <w:rFonts w:ascii="Times New Roman" w:hAnsi="Times New Roman"/>
          <w:sz w:val="24"/>
          <w:szCs w:val="24"/>
        </w:rPr>
        <w:t xml:space="preserve">according to </w:t>
      </w:r>
      <w:bookmarkStart w:id="29" w:name="OLE_LINK7"/>
      <w:r w:rsidR="00C40CBC">
        <w:rPr>
          <w:rFonts w:ascii="Times New Roman" w:hAnsi="Times New Roman"/>
          <w:sz w:val="24"/>
          <w:szCs w:val="24"/>
        </w:rPr>
        <w:t xml:space="preserve">the </w:t>
      </w:r>
      <w:r w:rsidR="006D69BF">
        <w:rPr>
          <w:rFonts w:ascii="Times New Roman" w:hAnsi="Times New Roman"/>
          <w:sz w:val="24"/>
          <w:szCs w:val="24"/>
        </w:rPr>
        <w:t xml:space="preserve">S&amp;P </w:t>
      </w:r>
      <w:r w:rsidR="000E1A23">
        <w:rPr>
          <w:rFonts w:ascii="Times New Roman" w:hAnsi="Times New Roman"/>
          <w:sz w:val="24"/>
          <w:szCs w:val="24"/>
        </w:rPr>
        <w:t xml:space="preserve">Global </w:t>
      </w:r>
      <w:r w:rsidR="006D69BF">
        <w:rPr>
          <w:rFonts w:ascii="Times New Roman" w:hAnsi="Times New Roman"/>
          <w:sz w:val="24"/>
          <w:szCs w:val="24"/>
        </w:rPr>
        <w:t>Market Intelligence</w:t>
      </w:r>
      <w:bookmarkEnd w:id="29"/>
      <w:r w:rsidR="006D69BF">
        <w:rPr>
          <w:rFonts w:ascii="Times New Roman" w:hAnsi="Times New Roman"/>
          <w:sz w:val="24"/>
          <w:szCs w:val="24"/>
        </w:rPr>
        <w:t>’s RRA Regulatory Focus report</w:t>
      </w:r>
      <w:r w:rsidR="00630071">
        <w:rPr>
          <w:rFonts w:ascii="Times New Roman" w:hAnsi="Times New Roman"/>
          <w:sz w:val="24"/>
          <w:szCs w:val="24"/>
        </w:rPr>
        <w:t xml:space="preserve"> for 2018 (</w:t>
      </w:r>
      <w:bookmarkStart w:id="30" w:name="OLE_LINK13"/>
      <w:bookmarkStart w:id="31" w:name="OLE_LINK14"/>
      <w:r w:rsidR="00630071">
        <w:rPr>
          <w:rFonts w:ascii="Times New Roman" w:hAnsi="Times New Roman"/>
          <w:sz w:val="24"/>
          <w:szCs w:val="24"/>
        </w:rPr>
        <w:t xml:space="preserve">2018 </w:t>
      </w:r>
      <w:r w:rsidR="00730A7E" w:rsidRPr="00730A7E">
        <w:rPr>
          <w:rFonts w:ascii="Times New Roman" w:hAnsi="Times New Roman"/>
          <w:sz w:val="24"/>
          <w:szCs w:val="24"/>
        </w:rPr>
        <w:t>S&amp;P Global Market Intelligence RRA</w:t>
      </w:r>
      <w:r w:rsidR="00BC2615">
        <w:rPr>
          <w:rFonts w:ascii="Times New Roman" w:hAnsi="Times New Roman"/>
          <w:sz w:val="24"/>
          <w:szCs w:val="24"/>
        </w:rPr>
        <w:t xml:space="preserve"> Report</w:t>
      </w:r>
      <w:bookmarkEnd w:id="30"/>
      <w:bookmarkEnd w:id="31"/>
      <w:r w:rsidR="00630071">
        <w:rPr>
          <w:rFonts w:ascii="Times New Roman" w:hAnsi="Times New Roman"/>
          <w:sz w:val="24"/>
          <w:szCs w:val="24"/>
        </w:rPr>
        <w:t>)</w:t>
      </w:r>
      <w:r w:rsidR="006D69BF">
        <w:rPr>
          <w:rFonts w:ascii="Times New Roman" w:hAnsi="Times New Roman"/>
          <w:sz w:val="24"/>
          <w:szCs w:val="24"/>
        </w:rPr>
        <w:t>,</w:t>
      </w:r>
      <w:r w:rsidR="006D69BF" w:rsidRPr="003C208D">
        <w:rPr>
          <w:rStyle w:val="FootnoteReference"/>
          <w:rFonts w:ascii="Times New Roman" w:hAnsi="Times New Roman"/>
          <w:sz w:val="24"/>
          <w:szCs w:val="24"/>
        </w:rPr>
        <w:footnoteReference w:id="36"/>
      </w:r>
      <w:r w:rsidR="006D69BF">
        <w:rPr>
          <w:rFonts w:ascii="Times New Roman" w:hAnsi="Times New Roman"/>
          <w:sz w:val="24"/>
          <w:szCs w:val="24"/>
        </w:rPr>
        <w:t xml:space="preserve"> the average equity ratio for delivery-only electric utilities authorized by other state regulatory commissions for calendar year 2018 was 49.91%.</w:t>
      </w:r>
      <w:r w:rsidR="006D69BF" w:rsidRPr="003C208D">
        <w:rPr>
          <w:rStyle w:val="FootnoteReference"/>
          <w:rFonts w:ascii="Times New Roman" w:hAnsi="Times New Roman"/>
          <w:sz w:val="24"/>
          <w:szCs w:val="24"/>
        </w:rPr>
        <w:footnoteReference w:id="37"/>
      </w:r>
    </w:p>
    <w:p w14:paraId="1CB5E561" w14:textId="5EF2CC5F" w:rsidR="00B75534" w:rsidRDefault="00B75534" w:rsidP="00B75534">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Pr>
          <w:rFonts w:ascii="Times New Roman" w:hAnsi="Times New Roman"/>
          <w:b/>
          <w:sz w:val="24"/>
          <w:szCs w:val="24"/>
        </w:rPr>
        <w:t xml:space="preserve">What </w:t>
      </w:r>
      <w:r w:rsidR="00B81BC3">
        <w:rPr>
          <w:rFonts w:ascii="Times New Roman" w:hAnsi="Times New Roman"/>
          <w:b/>
          <w:sz w:val="24"/>
          <w:szCs w:val="24"/>
        </w:rPr>
        <w:t xml:space="preserve">is your reaction to that </w:t>
      </w:r>
      <w:r w:rsidR="006F4C78">
        <w:rPr>
          <w:rFonts w:ascii="Times New Roman" w:hAnsi="Times New Roman"/>
          <w:b/>
          <w:sz w:val="24"/>
          <w:szCs w:val="24"/>
        </w:rPr>
        <w:t>argument</w:t>
      </w:r>
      <w:r>
        <w:rPr>
          <w:rFonts w:ascii="Times New Roman" w:hAnsi="Times New Roman"/>
          <w:b/>
          <w:sz w:val="24"/>
          <w:szCs w:val="24"/>
        </w:rPr>
        <w:t>?</w:t>
      </w:r>
    </w:p>
    <w:p w14:paraId="67D6DB8A" w14:textId="11D16E8D" w:rsidR="00E2430C" w:rsidRDefault="00B75534" w:rsidP="00B75534">
      <w:pPr>
        <w:pStyle w:val="PlainText"/>
        <w:tabs>
          <w:tab w:val="left" w:pos="720"/>
          <w:tab w:val="left" w:pos="1080"/>
        </w:tabs>
        <w:spacing w:after="120" w:line="480" w:lineRule="auto"/>
        <w:ind w:left="720" w:hanging="720"/>
        <w:jc w:val="both"/>
        <w:rPr>
          <w:rFonts w:ascii="Times New Roman" w:hAnsi="Times New Roman"/>
          <w:sz w:val="24"/>
          <w:szCs w:val="24"/>
        </w:rPr>
      </w:pPr>
      <w:r w:rsidRPr="00FF7CA4">
        <w:rPr>
          <w:rFonts w:ascii="Times New Roman" w:hAnsi="Times New Roman"/>
          <w:sz w:val="24"/>
          <w:szCs w:val="24"/>
        </w:rPr>
        <w:t>A.</w:t>
      </w:r>
      <w:r w:rsidRPr="00FF7CA4">
        <w:rPr>
          <w:rFonts w:ascii="Times New Roman" w:hAnsi="Times New Roman"/>
          <w:sz w:val="24"/>
          <w:szCs w:val="24"/>
        </w:rPr>
        <w:tab/>
      </w:r>
      <w:r w:rsidR="00B81BC3">
        <w:rPr>
          <w:rFonts w:ascii="Times New Roman" w:hAnsi="Times New Roman"/>
          <w:sz w:val="24"/>
          <w:szCs w:val="24"/>
        </w:rPr>
        <w:t xml:space="preserve">CEHE is a </w:t>
      </w:r>
      <w:r w:rsidR="00561132">
        <w:rPr>
          <w:rFonts w:ascii="Times New Roman" w:hAnsi="Times New Roman"/>
          <w:sz w:val="24"/>
          <w:szCs w:val="24"/>
        </w:rPr>
        <w:t>TDU.</w:t>
      </w:r>
      <w:r w:rsidR="00673950">
        <w:rPr>
          <w:rFonts w:ascii="Times New Roman" w:hAnsi="Times New Roman"/>
          <w:sz w:val="24"/>
          <w:szCs w:val="24"/>
        </w:rPr>
        <w:t xml:space="preserve"> </w:t>
      </w:r>
      <w:r w:rsidR="00B81BC3">
        <w:rPr>
          <w:rFonts w:ascii="Times New Roman" w:hAnsi="Times New Roman"/>
          <w:sz w:val="24"/>
          <w:szCs w:val="24"/>
        </w:rPr>
        <w:t xml:space="preserve"> Therefore, a </w:t>
      </w:r>
      <w:r>
        <w:rPr>
          <w:rFonts w:ascii="Times New Roman" w:hAnsi="Times New Roman"/>
          <w:sz w:val="24"/>
          <w:szCs w:val="24"/>
        </w:rPr>
        <w:t xml:space="preserve">capital structure resulting from a proxy group that includes vertically integrated utilities is </w:t>
      </w:r>
      <w:r w:rsidR="00EA28A0">
        <w:rPr>
          <w:rFonts w:ascii="Times New Roman" w:hAnsi="Times New Roman"/>
          <w:sz w:val="24"/>
          <w:szCs w:val="24"/>
        </w:rPr>
        <w:t>in</w:t>
      </w:r>
      <w:r>
        <w:rPr>
          <w:rFonts w:ascii="Times New Roman" w:hAnsi="Times New Roman"/>
          <w:sz w:val="24"/>
          <w:szCs w:val="24"/>
        </w:rPr>
        <w:t>appropriate.</w:t>
      </w:r>
      <w:r w:rsidR="00673950">
        <w:rPr>
          <w:rFonts w:ascii="Times New Roman" w:hAnsi="Times New Roman"/>
          <w:sz w:val="24"/>
          <w:szCs w:val="24"/>
        </w:rPr>
        <w:t xml:space="preserve"> </w:t>
      </w:r>
      <w:r>
        <w:rPr>
          <w:rFonts w:ascii="Times New Roman" w:hAnsi="Times New Roman"/>
          <w:sz w:val="24"/>
          <w:szCs w:val="24"/>
        </w:rPr>
        <w:t xml:space="preserve"> </w:t>
      </w:r>
      <w:r w:rsidR="00517B7F">
        <w:rPr>
          <w:rFonts w:ascii="Times New Roman" w:hAnsi="Times New Roman"/>
          <w:sz w:val="24"/>
          <w:szCs w:val="24"/>
        </w:rPr>
        <w:t>A</w:t>
      </w:r>
      <w:r>
        <w:rPr>
          <w:rFonts w:ascii="Times New Roman" w:hAnsi="Times New Roman"/>
          <w:sz w:val="24"/>
          <w:szCs w:val="24"/>
        </w:rPr>
        <w:t xml:space="preserve"> capital structure resulting from delivery-only electric utilities in other jurisdictions is </w:t>
      </w:r>
      <w:r w:rsidR="00517B7F">
        <w:rPr>
          <w:rFonts w:ascii="Times New Roman" w:hAnsi="Times New Roman"/>
          <w:sz w:val="24"/>
          <w:szCs w:val="24"/>
        </w:rPr>
        <w:t>also in</w:t>
      </w:r>
      <w:r w:rsidR="00977D26">
        <w:rPr>
          <w:rFonts w:ascii="Times New Roman" w:hAnsi="Times New Roman"/>
          <w:sz w:val="24"/>
          <w:szCs w:val="24"/>
        </w:rPr>
        <w:t>appropriate</w:t>
      </w:r>
      <w:r>
        <w:rPr>
          <w:rFonts w:ascii="Times New Roman" w:hAnsi="Times New Roman"/>
          <w:sz w:val="24"/>
          <w:szCs w:val="24"/>
        </w:rPr>
        <w:t xml:space="preserve"> because</w:t>
      </w:r>
      <w:r w:rsidR="00501AED">
        <w:rPr>
          <w:rFonts w:ascii="Times New Roman" w:hAnsi="Times New Roman"/>
          <w:sz w:val="24"/>
          <w:szCs w:val="24"/>
        </w:rPr>
        <w:t>,</w:t>
      </w:r>
      <w:r>
        <w:rPr>
          <w:rFonts w:ascii="Times New Roman" w:hAnsi="Times New Roman"/>
          <w:sz w:val="24"/>
          <w:szCs w:val="24"/>
        </w:rPr>
        <w:t xml:space="preserve"> </w:t>
      </w:r>
      <w:r w:rsidR="00501AED">
        <w:rPr>
          <w:rFonts w:ascii="Times New Roman" w:hAnsi="Times New Roman"/>
          <w:sz w:val="24"/>
          <w:szCs w:val="24"/>
        </w:rPr>
        <w:t xml:space="preserve">after reviewing </w:t>
      </w:r>
      <w:r w:rsidR="00501AED" w:rsidRPr="00501AED">
        <w:rPr>
          <w:rFonts w:ascii="Times New Roman" w:hAnsi="Times New Roman"/>
          <w:sz w:val="24"/>
          <w:szCs w:val="24"/>
        </w:rPr>
        <w:t xml:space="preserve">the </w:t>
      </w:r>
      <w:r w:rsidR="00AF70DC">
        <w:rPr>
          <w:rFonts w:ascii="Times New Roman" w:hAnsi="Times New Roman"/>
          <w:sz w:val="24"/>
          <w:szCs w:val="24"/>
        </w:rPr>
        <w:t xml:space="preserve">financial information (e.g., from the </w:t>
      </w:r>
      <w:r w:rsidR="00501AED" w:rsidRPr="00501AED">
        <w:rPr>
          <w:rFonts w:ascii="Times New Roman" w:hAnsi="Times New Roman"/>
          <w:sz w:val="24"/>
          <w:szCs w:val="24"/>
        </w:rPr>
        <w:t>U</w:t>
      </w:r>
      <w:r w:rsidR="005E50B5">
        <w:rPr>
          <w:rFonts w:ascii="Times New Roman" w:hAnsi="Times New Roman"/>
          <w:sz w:val="24"/>
          <w:szCs w:val="24"/>
        </w:rPr>
        <w:t xml:space="preserve">.S. </w:t>
      </w:r>
      <w:r w:rsidR="00501AED" w:rsidRPr="00501AED">
        <w:rPr>
          <w:rFonts w:ascii="Times New Roman" w:hAnsi="Times New Roman"/>
          <w:sz w:val="24"/>
          <w:szCs w:val="24"/>
        </w:rPr>
        <w:t>Securities and Exchange Commission Form 10-k reports</w:t>
      </w:r>
      <w:r w:rsidR="00AF70DC">
        <w:rPr>
          <w:rFonts w:ascii="Times New Roman" w:hAnsi="Times New Roman"/>
          <w:sz w:val="24"/>
          <w:szCs w:val="24"/>
        </w:rPr>
        <w:t xml:space="preserve">, </w:t>
      </w:r>
      <w:r w:rsidR="00501AED" w:rsidRPr="00501AED">
        <w:rPr>
          <w:rFonts w:ascii="Times New Roman" w:hAnsi="Times New Roman"/>
          <w:sz w:val="24"/>
          <w:szCs w:val="24"/>
        </w:rPr>
        <w:t>the Federal Energy Regulatory Commission</w:t>
      </w:r>
      <w:r w:rsidR="00E07240">
        <w:rPr>
          <w:rFonts w:ascii="Times New Roman" w:hAnsi="Times New Roman"/>
          <w:sz w:val="24"/>
          <w:szCs w:val="24"/>
        </w:rPr>
        <w:t xml:space="preserve"> </w:t>
      </w:r>
      <w:r w:rsidR="00501AED" w:rsidRPr="00501AED">
        <w:rPr>
          <w:rFonts w:ascii="Times New Roman" w:hAnsi="Times New Roman"/>
          <w:sz w:val="24"/>
          <w:szCs w:val="24"/>
        </w:rPr>
        <w:t>Form 1 reports</w:t>
      </w:r>
      <w:r w:rsidR="00AF70DC">
        <w:rPr>
          <w:rFonts w:ascii="Times New Roman" w:hAnsi="Times New Roman"/>
          <w:sz w:val="24"/>
          <w:szCs w:val="24"/>
        </w:rPr>
        <w:t>)</w:t>
      </w:r>
      <w:r w:rsidR="00501AED" w:rsidRPr="00501AED">
        <w:rPr>
          <w:rFonts w:ascii="Times New Roman" w:hAnsi="Times New Roman"/>
          <w:sz w:val="24"/>
          <w:szCs w:val="24"/>
        </w:rPr>
        <w:t xml:space="preserve"> for the delivery</w:t>
      </w:r>
      <w:r w:rsidR="00D30644">
        <w:rPr>
          <w:rFonts w:ascii="Times New Roman" w:hAnsi="Times New Roman"/>
          <w:sz w:val="24"/>
          <w:szCs w:val="24"/>
        </w:rPr>
        <w:t>-only</w:t>
      </w:r>
      <w:r w:rsidR="00501AED" w:rsidRPr="00501AED">
        <w:rPr>
          <w:rFonts w:ascii="Times New Roman" w:hAnsi="Times New Roman"/>
          <w:sz w:val="24"/>
          <w:szCs w:val="24"/>
        </w:rPr>
        <w:t xml:space="preserve"> </w:t>
      </w:r>
      <w:r w:rsidR="00AF70DC">
        <w:rPr>
          <w:rFonts w:ascii="Times New Roman" w:hAnsi="Times New Roman"/>
          <w:sz w:val="24"/>
          <w:szCs w:val="24"/>
        </w:rPr>
        <w:t xml:space="preserve">electric utilities </w:t>
      </w:r>
      <w:r w:rsidR="00501AED" w:rsidRPr="00501AED">
        <w:rPr>
          <w:rFonts w:ascii="Times New Roman" w:hAnsi="Times New Roman"/>
          <w:sz w:val="24"/>
          <w:szCs w:val="24"/>
        </w:rPr>
        <w:t>in the 2018 S&amp;P Global Market Intelligence RRA Report</w:t>
      </w:r>
      <w:r w:rsidR="00501AED">
        <w:rPr>
          <w:rFonts w:ascii="Times New Roman" w:hAnsi="Times New Roman"/>
          <w:sz w:val="24"/>
          <w:szCs w:val="24"/>
        </w:rPr>
        <w:t xml:space="preserve">, I found that </w:t>
      </w:r>
      <w:r w:rsidR="00E07240">
        <w:rPr>
          <w:rFonts w:ascii="Times New Roman" w:hAnsi="Times New Roman"/>
          <w:sz w:val="24"/>
          <w:szCs w:val="24"/>
        </w:rPr>
        <w:t xml:space="preserve">14 of the </w:t>
      </w:r>
      <w:r w:rsidR="004202F8">
        <w:rPr>
          <w:rFonts w:ascii="Times New Roman" w:hAnsi="Times New Roman"/>
          <w:sz w:val="24"/>
          <w:szCs w:val="24"/>
        </w:rPr>
        <w:t>16</w:t>
      </w:r>
      <w:r w:rsidR="00E07240">
        <w:rPr>
          <w:rFonts w:ascii="Times New Roman" w:hAnsi="Times New Roman"/>
          <w:sz w:val="24"/>
          <w:szCs w:val="24"/>
        </w:rPr>
        <w:t xml:space="preserve"> </w:t>
      </w:r>
      <w:r w:rsidR="00D56333">
        <w:rPr>
          <w:rFonts w:ascii="Times New Roman" w:hAnsi="Times New Roman"/>
          <w:sz w:val="24"/>
          <w:szCs w:val="24"/>
        </w:rPr>
        <w:t xml:space="preserve">delivery-only </w:t>
      </w:r>
      <w:r w:rsidR="00AF70DC">
        <w:rPr>
          <w:rFonts w:ascii="Times New Roman" w:hAnsi="Times New Roman"/>
          <w:sz w:val="24"/>
          <w:szCs w:val="24"/>
        </w:rPr>
        <w:t xml:space="preserve">electric </w:t>
      </w:r>
      <w:r w:rsidR="00D56333">
        <w:rPr>
          <w:rFonts w:ascii="Times New Roman" w:hAnsi="Times New Roman"/>
          <w:sz w:val="24"/>
          <w:szCs w:val="24"/>
        </w:rPr>
        <w:t xml:space="preserve">utilities in </w:t>
      </w:r>
      <w:r w:rsidR="00626D68">
        <w:rPr>
          <w:rFonts w:ascii="Times New Roman" w:hAnsi="Times New Roman"/>
          <w:sz w:val="24"/>
          <w:szCs w:val="24"/>
        </w:rPr>
        <w:t xml:space="preserve">the </w:t>
      </w:r>
      <w:r w:rsidR="00EF3025">
        <w:rPr>
          <w:rFonts w:ascii="Times New Roman" w:hAnsi="Times New Roman"/>
          <w:sz w:val="24"/>
          <w:szCs w:val="24"/>
        </w:rPr>
        <w:t xml:space="preserve">2018 </w:t>
      </w:r>
      <w:r w:rsidR="00EF3025" w:rsidRPr="00730A7E">
        <w:rPr>
          <w:rFonts w:ascii="Times New Roman" w:hAnsi="Times New Roman"/>
          <w:sz w:val="24"/>
          <w:szCs w:val="24"/>
        </w:rPr>
        <w:t>S&amp;P Global Market Intelligence RRA</w:t>
      </w:r>
      <w:r w:rsidR="00EF3025">
        <w:rPr>
          <w:rFonts w:ascii="Times New Roman" w:hAnsi="Times New Roman"/>
          <w:sz w:val="24"/>
          <w:szCs w:val="24"/>
        </w:rPr>
        <w:t xml:space="preserve"> Report</w:t>
      </w:r>
      <w:bookmarkStart w:id="32" w:name="OLE_LINK5"/>
      <w:bookmarkStart w:id="33" w:name="OLE_LINK6"/>
      <w:r>
        <w:rPr>
          <w:rFonts w:ascii="Times New Roman" w:hAnsi="Times New Roman"/>
          <w:sz w:val="24"/>
          <w:szCs w:val="24"/>
        </w:rPr>
        <w:t xml:space="preserve"> </w:t>
      </w:r>
      <w:bookmarkEnd w:id="32"/>
      <w:bookmarkEnd w:id="33"/>
      <w:r w:rsidR="00E2430C">
        <w:rPr>
          <w:rFonts w:ascii="Times New Roman" w:hAnsi="Times New Roman"/>
          <w:sz w:val="24"/>
          <w:szCs w:val="24"/>
        </w:rPr>
        <w:t xml:space="preserve">purchase </w:t>
      </w:r>
      <w:r w:rsidR="00B81BC3">
        <w:rPr>
          <w:rFonts w:ascii="Times New Roman" w:hAnsi="Times New Roman"/>
          <w:sz w:val="24"/>
          <w:szCs w:val="24"/>
        </w:rPr>
        <w:t xml:space="preserve">and </w:t>
      </w:r>
      <w:r w:rsidR="001619A1">
        <w:rPr>
          <w:rFonts w:ascii="Times New Roman" w:hAnsi="Times New Roman"/>
          <w:sz w:val="24"/>
          <w:szCs w:val="24"/>
        </w:rPr>
        <w:t>sell</w:t>
      </w:r>
      <w:r w:rsidR="00B81BC3">
        <w:rPr>
          <w:rFonts w:ascii="Times New Roman" w:hAnsi="Times New Roman"/>
          <w:sz w:val="24"/>
          <w:szCs w:val="24"/>
        </w:rPr>
        <w:t xml:space="preserve"> </w:t>
      </w:r>
      <w:r w:rsidR="000E1A23">
        <w:rPr>
          <w:rFonts w:ascii="Times New Roman" w:hAnsi="Times New Roman"/>
          <w:sz w:val="24"/>
          <w:szCs w:val="24"/>
        </w:rPr>
        <w:t xml:space="preserve">electricity. </w:t>
      </w:r>
      <w:r w:rsidR="00673950">
        <w:rPr>
          <w:rFonts w:ascii="Times New Roman" w:hAnsi="Times New Roman"/>
          <w:sz w:val="24"/>
          <w:szCs w:val="24"/>
        </w:rPr>
        <w:t xml:space="preserve"> </w:t>
      </w:r>
      <w:r w:rsidR="00517B7F">
        <w:rPr>
          <w:rFonts w:ascii="Times New Roman" w:hAnsi="Times New Roman"/>
          <w:sz w:val="24"/>
          <w:szCs w:val="24"/>
        </w:rPr>
        <w:t xml:space="preserve">The </w:t>
      </w:r>
      <w:r w:rsidR="000E1A23">
        <w:rPr>
          <w:rFonts w:ascii="Times New Roman" w:hAnsi="Times New Roman"/>
          <w:sz w:val="24"/>
          <w:szCs w:val="24"/>
        </w:rPr>
        <w:t>capital structures of the delivery</w:t>
      </w:r>
      <w:r w:rsidR="0007067D">
        <w:rPr>
          <w:rFonts w:ascii="Times New Roman" w:hAnsi="Times New Roman"/>
          <w:sz w:val="24"/>
          <w:szCs w:val="24"/>
        </w:rPr>
        <w:t xml:space="preserve">-only electric utilities </w:t>
      </w:r>
      <w:r w:rsidR="00BA224D">
        <w:rPr>
          <w:rFonts w:ascii="Times New Roman" w:hAnsi="Times New Roman"/>
          <w:sz w:val="24"/>
          <w:szCs w:val="24"/>
        </w:rPr>
        <w:t xml:space="preserve">in </w:t>
      </w:r>
      <w:r w:rsidR="00626D68">
        <w:rPr>
          <w:rFonts w:ascii="Times New Roman" w:hAnsi="Times New Roman"/>
          <w:sz w:val="24"/>
          <w:szCs w:val="24"/>
        </w:rPr>
        <w:t xml:space="preserve">the </w:t>
      </w:r>
      <w:r w:rsidR="00626D68" w:rsidRPr="00626D68">
        <w:rPr>
          <w:rFonts w:ascii="Times New Roman" w:hAnsi="Times New Roman"/>
          <w:sz w:val="24"/>
          <w:szCs w:val="24"/>
        </w:rPr>
        <w:t>2018 S&amp;P Global Market Intelligence RRA Report</w:t>
      </w:r>
      <w:r w:rsidR="00BA224D">
        <w:rPr>
          <w:rFonts w:ascii="Times New Roman" w:hAnsi="Times New Roman"/>
          <w:sz w:val="24"/>
          <w:szCs w:val="24"/>
        </w:rPr>
        <w:t xml:space="preserve">, while a better proxy for CEHE than vertically </w:t>
      </w:r>
      <w:r w:rsidR="004A3FE9">
        <w:rPr>
          <w:rFonts w:ascii="Times New Roman" w:hAnsi="Times New Roman"/>
          <w:sz w:val="24"/>
          <w:szCs w:val="24"/>
        </w:rPr>
        <w:t>integrated utilities,</w:t>
      </w:r>
      <w:r w:rsidR="00BA224D">
        <w:rPr>
          <w:rFonts w:ascii="Times New Roman" w:hAnsi="Times New Roman"/>
          <w:sz w:val="24"/>
          <w:szCs w:val="24"/>
        </w:rPr>
        <w:t xml:space="preserve"> </w:t>
      </w:r>
      <w:r w:rsidR="0007067D">
        <w:rPr>
          <w:rFonts w:ascii="Times New Roman" w:hAnsi="Times New Roman"/>
          <w:sz w:val="24"/>
          <w:szCs w:val="24"/>
        </w:rPr>
        <w:t xml:space="preserve">are </w:t>
      </w:r>
      <w:r w:rsidR="00517B7F">
        <w:rPr>
          <w:rFonts w:ascii="Times New Roman" w:hAnsi="Times New Roman"/>
          <w:sz w:val="24"/>
          <w:szCs w:val="24"/>
        </w:rPr>
        <w:t xml:space="preserve">not </w:t>
      </w:r>
      <w:r w:rsidR="0007067D">
        <w:rPr>
          <w:rFonts w:ascii="Times New Roman" w:hAnsi="Times New Roman"/>
          <w:sz w:val="24"/>
          <w:szCs w:val="24"/>
        </w:rPr>
        <w:t xml:space="preserve">a good proxy for </w:t>
      </w:r>
      <w:r w:rsidR="00E2430C">
        <w:rPr>
          <w:rFonts w:ascii="Times New Roman" w:hAnsi="Times New Roman"/>
          <w:sz w:val="24"/>
          <w:szCs w:val="24"/>
        </w:rPr>
        <w:t>CEHE</w:t>
      </w:r>
      <w:r w:rsidR="0007067D">
        <w:rPr>
          <w:rFonts w:ascii="Times New Roman" w:hAnsi="Times New Roman"/>
          <w:sz w:val="24"/>
          <w:szCs w:val="24"/>
        </w:rPr>
        <w:t xml:space="preserve">, which is </w:t>
      </w:r>
      <w:r w:rsidR="00E2430C">
        <w:rPr>
          <w:rFonts w:ascii="Times New Roman" w:hAnsi="Times New Roman"/>
          <w:sz w:val="24"/>
          <w:szCs w:val="24"/>
        </w:rPr>
        <w:t>a TDU</w:t>
      </w:r>
      <w:r w:rsidR="003512B0">
        <w:rPr>
          <w:rFonts w:ascii="Times New Roman" w:hAnsi="Times New Roman"/>
          <w:sz w:val="24"/>
          <w:szCs w:val="24"/>
        </w:rPr>
        <w:t xml:space="preserve"> (i.e., </w:t>
      </w:r>
      <w:r w:rsidR="00AF70DC">
        <w:rPr>
          <w:rFonts w:ascii="Times New Roman" w:hAnsi="Times New Roman"/>
          <w:sz w:val="24"/>
          <w:szCs w:val="24"/>
        </w:rPr>
        <w:t xml:space="preserve">a </w:t>
      </w:r>
      <w:r w:rsidR="003512B0">
        <w:rPr>
          <w:rFonts w:ascii="Times New Roman" w:hAnsi="Times New Roman"/>
          <w:sz w:val="24"/>
          <w:szCs w:val="24"/>
        </w:rPr>
        <w:t>wires-only utility)</w:t>
      </w:r>
      <w:r w:rsidR="00E2430C">
        <w:rPr>
          <w:rFonts w:ascii="Times New Roman" w:hAnsi="Times New Roman"/>
          <w:sz w:val="24"/>
          <w:szCs w:val="24"/>
        </w:rPr>
        <w:t xml:space="preserve"> that does not purchase </w:t>
      </w:r>
      <w:r w:rsidR="004A3FE9">
        <w:rPr>
          <w:rFonts w:ascii="Times New Roman" w:hAnsi="Times New Roman"/>
          <w:sz w:val="24"/>
          <w:szCs w:val="24"/>
        </w:rPr>
        <w:t xml:space="preserve">and sell </w:t>
      </w:r>
      <w:r w:rsidR="00E2430C">
        <w:rPr>
          <w:rFonts w:ascii="Times New Roman" w:hAnsi="Times New Roman"/>
          <w:sz w:val="24"/>
          <w:szCs w:val="24"/>
        </w:rPr>
        <w:t>electricity</w:t>
      </w:r>
      <w:r w:rsidR="004A3FE9">
        <w:rPr>
          <w:rFonts w:ascii="Times New Roman" w:hAnsi="Times New Roman"/>
          <w:sz w:val="24"/>
          <w:szCs w:val="24"/>
        </w:rPr>
        <w:t>.</w:t>
      </w:r>
      <w:r w:rsidR="00606DCE">
        <w:rPr>
          <w:rFonts w:ascii="Times New Roman" w:hAnsi="Times New Roman"/>
          <w:sz w:val="24"/>
          <w:szCs w:val="24"/>
        </w:rPr>
        <w:t xml:space="preserve"> </w:t>
      </w:r>
    </w:p>
    <w:p w14:paraId="064F00F3" w14:textId="43AF6CA6" w:rsidR="00606DCE" w:rsidRDefault="00153AA2" w:rsidP="00B75534">
      <w:pPr>
        <w:pStyle w:val="PlainText"/>
        <w:tabs>
          <w:tab w:val="left" w:pos="720"/>
          <w:tab w:val="left" w:pos="1080"/>
        </w:tabs>
        <w:spacing w:after="120" w:line="480" w:lineRule="auto"/>
        <w:ind w:left="720" w:hanging="7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8D0BF9">
        <w:rPr>
          <w:rFonts w:ascii="Times New Roman" w:hAnsi="Times New Roman"/>
          <w:sz w:val="24"/>
          <w:szCs w:val="24"/>
        </w:rPr>
        <w:tab/>
      </w:r>
      <w:r w:rsidR="00606DCE">
        <w:rPr>
          <w:rFonts w:ascii="Times New Roman" w:hAnsi="Times New Roman"/>
          <w:sz w:val="24"/>
          <w:szCs w:val="24"/>
        </w:rPr>
        <w:t>Nevertheless, Mr. McRae</w:t>
      </w:r>
      <w:r w:rsidR="00B55B4B">
        <w:rPr>
          <w:rFonts w:ascii="Times New Roman" w:hAnsi="Times New Roman"/>
          <w:sz w:val="24"/>
          <w:szCs w:val="24"/>
        </w:rPr>
        <w:t>’s</w:t>
      </w:r>
      <w:r w:rsidR="00606DCE">
        <w:rPr>
          <w:rFonts w:ascii="Times New Roman" w:hAnsi="Times New Roman"/>
          <w:sz w:val="24"/>
          <w:szCs w:val="24"/>
        </w:rPr>
        <w:t xml:space="preserve"> </w:t>
      </w:r>
      <w:r w:rsidR="001B7E34">
        <w:rPr>
          <w:rFonts w:ascii="Times New Roman" w:hAnsi="Times New Roman"/>
          <w:sz w:val="24"/>
          <w:szCs w:val="24"/>
        </w:rPr>
        <w:t xml:space="preserve">reference to </w:t>
      </w:r>
      <w:r w:rsidR="00D244CF">
        <w:rPr>
          <w:rFonts w:ascii="Times New Roman" w:hAnsi="Times New Roman"/>
          <w:sz w:val="24"/>
          <w:szCs w:val="24"/>
        </w:rPr>
        <w:t xml:space="preserve">information </w:t>
      </w:r>
      <w:r w:rsidR="00B55B4B">
        <w:rPr>
          <w:rFonts w:ascii="Times New Roman" w:hAnsi="Times New Roman"/>
          <w:sz w:val="24"/>
          <w:szCs w:val="24"/>
        </w:rPr>
        <w:t xml:space="preserve">in the </w:t>
      </w:r>
      <w:r w:rsidR="00841089">
        <w:rPr>
          <w:rFonts w:ascii="Times New Roman" w:hAnsi="Times New Roman"/>
          <w:sz w:val="24"/>
          <w:szCs w:val="24"/>
        </w:rPr>
        <w:t xml:space="preserve">2018 </w:t>
      </w:r>
      <w:r w:rsidR="0007067D">
        <w:rPr>
          <w:rFonts w:ascii="Times New Roman" w:hAnsi="Times New Roman"/>
          <w:sz w:val="24"/>
          <w:szCs w:val="24"/>
        </w:rPr>
        <w:t xml:space="preserve">S&amp;P Global </w:t>
      </w:r>
      <w:r w:rsidR="00D244CF">
        <w:rPr>
          <w:rFonts w:ascii="Times New Roman" w:hAnsi="Times New Roman"/>
          <w:sz w:val="24"/>
          <w:szCs w:val="24"/>
        </w:rPr>
        <w:t>Market Intelligence RRA</w:t>
      </w:r>
      <w:r w:rsidR="00841089">
        <w:rPr>
          <w:rFonts w:ascii="Times New Roman" w:hAnsi="Times New Roman"/>
          <w:sz w:val="24"/>
          <w:szCs w:val="24"/>
        </w:rPr>
        <w:t xml:space="preserve"> Report</w:t>
      </w:r>
      <w:r w:rsidR="00D244CF">
        <w:rPr>
          <w:rFonts w:ascii="Times New Roman" w:hAnsi="Times New Roman"/>
          <w:sz w:val="24"/>
          <w:szCs w:val="24"/>
        </w:rPr>
        <w:t xml:space="preserve"> </w:t>
      </w:r>
      <w:r w:rsidR="001B7E34">
        <w:rPr>
          <w:rFonts w:ascii="Times New Roman" w:hAnsi="Times New Roman"/>
          <w:sz w:val="24"/>
          <w:szCs w:val="24"/>
        </w:rPr>
        <w:t xml:space="preserve">led me to </w:t>
      </w:r>
      <w:r w:rsidR="00D244CF">
        <w:rPr>
          <w:rFonts w:ascii="Times New Roman" w:hAnsi="Times New Roman"/>
          <w:sz w:val="24"/>
          <w:szCs w:val="24"/>
        </w:rPr>
        <w:t xml:space="preserve">review the trend of the composition of </w:t>
      </w:r>
      <w:r w:rsidR="005B78C0">
        <w:rPr>
          <w:rFonts w:ascii="Times New Roman" w:hAnsi="Times New Roman"/>
          <w:sz w:val="24"/>
          <w:szCs w:val="24"/>
        </w:rPr>
        <w:t xml:space="preserve">authorized </w:t>
      </w:r>
      <w:r w:rsidR="00D244CF">
        <w:rPr>
          <w:rFonts w:ascii="Times New Roman" w:hAnsi="Times New Roman"/>
          <w:sz w:val="24"/>
          <w:szCs w:val="24"/>
        </w:rPr>
        <w:t>capital structure</w:t>
      </w:r>
      <w:r w:rsidR="005B78C0">
        <w:rPr>
          <w:rFonts w:ascii="Times New Roman" w:hAnsi="Times New Roman"/>
          <w:sz w:val="24"/>
          <w:szCs w:val="24"/>
        </w:rPr>
        <w:t>s</w:t>
      </w:r>
      <w:r w:rsidR="00D244CF">
        <w:rPr>
          <w:rFonts w:ascii="Times New Roman" w:hAnsi="Times New Roman"/>
          <w:sz w:val="24"/>
          <w:szCs w:val="24"/>
        </w:rPr>
        <w:t xml:space="preserve"> for delivery-only utilities in other jurisdictio</w:t>
      </w:r>
      <w:r w:rsidR="007A331F">
        <w:rPr>
          <w:rFonts w:ascii="Times New Roman" w:hAnsi="Times New Roman"/>
          <w:sz w:val="24"/>
          <w:szCs w:val="24"/>
        </w:rPr>
        <w:t>ns from 1998 through 2018.</w:t>
      </w:r>
    </w:p>
    <w:p w14:paraId="365E7595" w14:textId="348E134E" w:rsidR="00E87373" w:rsidRDefault="00E87373" w:rsidP="00E87373">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sidR="005B78C0">
        <w:rPr>
          <w:rFonts w:ascii="Times New Roman" w:hAnsi="Times New Roman"/>
          <w:b/>
          <w:sz w:val="24"/>
          <w:szCs w:val="24"/>
        </w:rPr>
        <w:t>What did you find when reviewing the trend?</w:t>
      </w:r>
    </w:p>
    <w:p w14:paraId="704E8F99" w14:textId="7D3B72BA" w:rsidR="0065672E" w:rsidRDefault="00E87373" w:rsidP="00B75534">
      <w:pPr>
        <w:pStyle w:val="PlainText"/>
        <w:tabs>
          <w:tab w:val="left" w:pos="720"/>
          <w:tab w:val="left" w:pos="1080"/>
        </w:tabs>
        <w:spacing w:after="120" w:line="480" w:lineRule="auto"/>
        <w:ind w:left="720" w:hanging="720"/>
        <w:jc w:val="both"/>
        <w:rPr>
          <w:rFonts w:ascii="Times New Roman" w:hAnsi="Times New Roman"/>
          <w:sz w:val="24"/>
          <w:szCs w:val="24"/>
        </w:rPr>
      </w:pPr>
      <w:r w:rsidRPr="00FF7CA4">
        <w:rPr>
          <w:rFonts w:ascii="Times New Roman" w:hAnsi="Times New Roman"/>
          <w:sz w:val="24"/>
          <w:szCs w:val="24"/>
        </w:rPr>
        <w:t>A.</w:t>
      </w:r>
      <w:r w:rsidRPr="00FF7CA4">
        <w:rPr>
          <w:rFonts w:ascii="Times New Roman" w:hAnsi="Times New Roman"/>
          <w:sz w:val="24"/>
          <w:szCs w:val="24"/>
        </w:rPr>
        <w:tab/>
      </w:r>
      <w:r w:rsidR="005B78C0">
        <w:rPr>
          <w:rFonts w:ascii="Times New Roman" w:hAnsi="Times New Roman"/>
          <w:sz w:val="24"/>
          <w:szCs w:val="24"/>
        </w:rPr>
        <w:t>A</w:t>
      </w:r>
      <w:r w:rsidR="0066478B">
        <w:rPr>
          <w:rFonts w:ascii="Times New Roman" w:hAnsi="Times New Roman"/>
          <w:sz w:val="24"/>
          <w:szCs w:val="24"/>
        </w:rPr>
        <w:t>lthough I do</w:t>
      </w:r>
      <w:r w:rsidR="005B78C0">
        <w:rPr>
          <w:rFonts w:ascii="Times New Roman" w:hAnsi="Times New Roman"/>
          <w:sz w:val="24"/>
          <w:szCs w:val="24"/>
        </w:rPr>
        <w:t xml:space="preserve"> not</w:t>
      </w:r>
      <w:r w:rsidR="0066478B">
        <w:rPr>
          <w:rFonts w:ascii="Times New Roman" w:hAnsi="Times New Roman"/>
          <w:sz w:val="24"/>
          <w:szCs w:val="24"/>
        </w:rPr>
        <w:t xml:space="preserve"> </w:t>
      </w:r>
      <w:r w:rsidR="005B78C0">
        <w:rPr>
          <w:rFonts w:ascii="Times New Roman" w:hAnsi="Times New Roman"/>
          <w:sz w:val="24"/>
          <w:szCs w:val="24"/>
        </w:rPr>
        <w:t xml:space="preserve">believe </w:t>
      </w:r>
      <w:r w:rsidR="0066478B">
        <w:rPr>
          <w:rFonts w:ascii="Times New Roman" w:hAnsi="Times New Roman"/>
          <w:sz w:val="24"/>
          <w:szCs w:val="24"/>
        </w:rPr>
        <w:t xml:space="preserve">that </w:t>
      </w:r>
      <w:r w:rsidR="000E7FA4">
        <w:rPr>
          <w:rFonts w:ascii="Times New Roman" w:hAnsi="Times New Roman"/>
          <w:sz w:val="24"/>
          <w:szCs w:val="24"/>
        </w:rPr>
        <w:t>“</w:t>
      </w:r>
      <w:r w:rsidR="0066478B">
        <w:rPr>
          <w:rFonts w:ascii="Times New Roman" w:hAnsi="Times New Roman"/>
          <w:sz w:val="24"/>
          <w:szCs w:val="24"/>
        </w:rPr>
        <w:t>delivery-only</w:t>
      </w:r>
      <w:r w:rsidR="000E7FA4">
        <w:rPr>
          <w:rFonts w:ascii="Times New Roman" w:hAnsi="Times New Roman"/>
          <w:sz w:val="24"/>
          <w:szCs w:val="24"/>
        </w:rPr>
        <w:t xml:space="preserve">” </w:t>
      </w:r>
      <w:r w:rsidR="00AF70DC">
        <w:rPr>
          <w:rFonts w:ascii="Times New Roman" w:hAnsi="Times New Roman"/>
          <w:sz w:val="24"/>
          <w:szCs w:val="24"/>
        </w:rPr>
        <w:t xml:space="preserve">electric </w:t>
      </w:r>
      <w:r w:rsidR="000E7FA4">
        <w:rPr>
          <w:rFonts w:ascii="Times New Roman" w:hAnsi="Times New Roman"/>
          <w:sz w:val="24"/>
          <w:szCs w:val="24"/>
        </w:rPr>
        <w:t>utilities that purchase and sell electricity</w:t>
      </w:r>
      <w:r w:rsidR="0066478B">
        <w:rPr>
          <w:rFonts w:ascii="Times New Roman" w:hAnsi="Times New Roman"/>
          <w:sz w:val="24"/>
          <w:szCs w:val="24"/>
        </w:rPr>
        <w:t xml:space="preserve"> are a good proxy for estimating CEHE’s capital structure, the</w:t>
      </w:r>
      <w:r w:rsidR="007749F0">
        <w:rPr>
          <w:rFonts w:ascii="Times New Roman" w:hAnsi="Times New Roman"/>
          <w:sz w:val="24"/>
          <w:szCs w:val="24"/>
        </w:rPr>
        <w:t xml:space="preserve"> </w:t>
      </w:r>
      <w:r w:rsidR="005B78C0">
        <w:rPr>
          <w:rFonts w:ascii="Times New Roman" w:hAnsi="Times New Roman"/>
          <w:sz w:val="24"/>
          <w:szCs w:val="24"/>
        </w:rPr>
        <w:t xml:space="preserve">authorized </w:t>
      </w:r>
      <w:r w:rsidR="007749F0">
        <w:rPr>
          <w:rFonts w:ascii="Times New Roman" w:hAnsi="Times New Roman"/>
          <w:sz w:val="24"/>
          <w:szCs w:val="24"/>
        </w:rPr>
        <w:t xml:space="preserve">equity ratio for delivery-only </w:t>
      </w:r>
      <w:r w:rsidR="00AF70DC">
        <w:rPr>
          <w:rFonts w:ascii="Times New Roman" w:hAnsi="Times New Roman"/>
          <w:sz w:val="24"/>
          <w:szCs w:val="24"/>
        </w:rPr>
        <w:t xml:space="preserve">electric </w:t>
      </w:r>
      <w:r w:rsidR="007749F0">
        <w:rPr>
          <w:rFonts w:ascii="Times New Roman" w:hAnsi="Times New Roman"/>
          <w:sz w:val="24"/>
          <w:szCs w:val="24"/>
        </w:rPr>
        <w:t xml:space="preserve">utilities has been </w:t>
      </w:r>
      <w:r w:rsidR="005B78C0">
        <w:rPr>
          <w:rFonts w:ascii="Times New Roman" w:hAnsi="Times New Roman"/>
          <w:sz w:val="24"/>
          <w:szCs w:val="24"/>
        </w:rPr>
        <w:t xml:space="preserve">trending upward </w:t>
      </w:r>
      <w:r w:rsidR="007749F0">
        <w:rPr>
          <w:rFonts w:ascii="Times New Roman" w:hAnsi="Times New Roman"/>
          <w:sz w:val="24"/>
          <w:szCs w:val="24"/>
        </w:rPr>
        <w:t xml:space="preserve">from around 45% </w:t>
      </w:r>
      <w:r w:rsidR="005B78C0">
        <w:rPr>
          <w:rFonts w:ascii="Times New Roman" w:hAnsi="Times New Roman"/>
          <w:sz w:val="24"/>
          <w:szCs w:val="24"/>
        </w:rPr>
        <w:t>in</w:t>
      </w:r>
      <w:r w:rsidR="007749F0">
        <w:rPr>
          <w:rFonts w:ascii="Times New Roman" w:hAnsi="Times New Roman"/>
          <w:sz w:val="24"/>
          <w:szCs w:val="24"/>
        </w:rPr>
        <w:t xml:space="preserve"> 2001 to almost 50% </w:t>
      </w:r>
      <w:r w:rsidR="005B78C0">
        <w:rPr>
          <w:rFonts w:ascii="Times New Roman" w:hAnsi="Times New Roman"/>
          <w:sz w:val="24"/>
          <w:szCs w:val="24"/>
        </w:rPr>
        <w:t xml:space="preserve">in </w:t>
      </w:r>
      <w:r w:rsidR="007749F0">
        <w:rPr>
          <w:rFonts w:ascii="Times New Roman" w:hAnsi="Times New Roman"/>
          <w:sz w:val="24"/>
          <w:szCs w:val="24"/>
        </w:rPr>
        <w:t>2018</w:t>
      </w:r>
      <w:r w:rsidR="005B78C0">
        <w:rPr>
          <w:rFonts w:ascii="Times New Roman" w:hAnsi="Times New Roman"/>
          <w:sz w:val="24"/>
          <w:szCs w:val="24"/>
        </w:rPr>
        <w:t xml:space="preserve"> a</w:t>
      </w:r>
      <w:r w:rsidR="007B289F">
        <w:rPr>
          <w:rFonts w:ascii="Times New Roman" w:hAnsi="Times New Roman"/>
          <w:sz w:val="24"/>
          <w:szCs w:val="24"/>
        </w:rPr>
        <w:t xml:space="preserve">s shown in the </w:t>
      </w:r>
      <w:r w:rsidR="005B78C0">
        <w:rPr>
          <w:rFonts w:ascii="Times New Roman" w:hAnsi="Times New Roman"/>
          <w:sz w:val="24"/>
          <w:szCs w:val="24"/>
        </w:rPr>
        <w:t xml:space="preserve">following </w:t>
      </w:r>
      <w:r w:rsidR="004C392C">
        <w:rPr>
          <w:rFonts w:ascii="Times New Roman" w:hAnsi="Times New Roman"/>
          <w:sz w:val="24"/>
          <w:szCs w:val="24"/>
        </w:rPr>
        <w:t>chart</w:t>
      </w:r>
      <w:r w:rsidR="007B289F">
        <w:rPr>
          <w:rFonts w:ascii="Times New Roman" w:hAnsi="Times New Roman"/>
          <w:sz w:val="24"/>
          <w:szCs w:val="24"/>
        </w:rPr>
        <w:t>:</w:t>
      </w:r>
    </w:p>
    <w:p w14:paraId="04DF01C0" w14:textId="074C0505" w:rsidR="0066478B" w:rsidRDefault="00EE2C33" w:rsidP="00F571A6">
      <w:pPr>
        <w:pStyle w:val="PlainText"/>
        <w:tabs>
          <w:tab w:val="left" w:pos="720"/>
          <w:tab w:val="left" w:pos="1080"/>
        </w:tabs>
        <w:spacing w:after="120" w:line="480" w:lineRule="auto"/>
        <w:ind w:left="720" w:hanging="720"/>
        <w:jc w:val="center"/>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10A33C75" wp14:editId="390B943F">
                <wp:simplePos x="0" y="0"/>
                <wp:positionH relativeFrom="column">
                  <wp:posOffset>3197656</wp:posOffset>
                </wp:positionH>
                <wp:positionV relativeFrom="paragraph">
                  <wp:posOffset>1746936</wp:posOffset>
                </wp:positionV>
                <wp:extent cx="1415332" cy="429371"/>
                <wp:effectExtent l="0" t="0" r="13970" b="27940"/>
                <wp:wrapNone/>
                <wp:docPr id="3" name="Text Box 3"/>
                <wp:cNvGraphicFramePr/>
                <a:graphic xmlns:a="http://schemas.openxmlformats.org/drawingml/2006/main">
                  <a:graphicData uri="http://schemas.microsoft.com/office/word/2010/wordprocessingShape">
                    <wps:wsp>
                      <wps:cNvSpPr txBox="1"/>
                      <wps:spPr>
                        <a:xfrm>
                          <a:off x="0" y="0"/>
                          <a:ext cx="1415332" cy="42937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31B9A7" w14:textId="056CBD90" w:rsidR="00BF3BE2" w:rsidRDefault="00BF3BE2">
                            <w:r>
                              <w:t>Source</w:t>
                            </w:r>
                            <w:r w:rsidRPr="00446883">
                              <w:rPr>
                                <w:i/>
                              </w:rPr>
                              <w:t>: S&amp;P Global Market Intelligence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0A33C75" id="_x0000_t202" coordsize="21600,21600" o:spt="202" path="m,l,21600r21600,l21600,xe">
                <v:stroke joinstyle="miter"/>
                <v:path gradientshapeok="t" o:connecttype="rect"/>
              </v:shapetype>
              <v:shape id="Text Box 3" o:spid="_x0000_s1026" type="#_x0000_t202" style="position:absolute;left:0;text-align:left;margin-left:251.8pt;margin-top:137.55pt;width:111.45pt;height:3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" fillcolor="white [3201]" strokeweight=".5pt">
                <v:textbox>
                  <w:txbxContent>
                    <w:p w14:paraId="4C31B9A7" w14:textId="056CBD90" w:rsidR="00BF3BE2" w:rsidRDefault="00BF3BE2">
                      <w:r>
                        <w:t>Source</w:t>
                      </w:r>
                      <w:r w:rsidRPr="00446883">
                        <w:rPr>
                          <w:i/>
                        </w:rPr>
                        <w:t>: S&amp;P Global Market Intelligence</w:t>
                      </w:r>
                    </w:p>
                  </w:txbxContent>
                </v:textbox>
              </v:shape>
            </w:pict>
          </mc:Fallback>
        </mc:AlternateContent>
      </w:r>
      <w:r>
        <w:rPr>
          <w:noProof/>
        </w:rPr>
        <w:drawing>
          <wp:inline distT="0" distB="0" distL="0" distR="0" wp14:anchorId="3C4F6428" wp14:editId="68B17102">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9DB3055" w14:textId="7EE1D37C" w:rsidR="0066478B" w:rsidRPr="0088510E" w:rsidRDefault="0066478B" w:rsidP="0066478B">
      <w:pPr>
        <w:pStyle w:val="question"/>
      </w:pPr>
      <w:r>
        <w:t>Q.</w:t>
      </w:r>
      <w:r>
        <w:tab/>
      </w:r>
      <w:r w:rsidR="001D047E">
        <w:t>What is your recommended capital structure for CEHE?</w:t>
      </w:r>
    </w:p>
    <w:p w14:paraId="1EFB89BC" w14:textId="26580A18" w:rsidR="00B75435" w:rsidRDefault="001D047E" w:rsidP="002C266F">
      <w:pPr>
        <w:pStyle w:val="answer"/>
        <w:tabs>
          <w:tab w:val="clear" w:pos="-3420"/>
          <w:tab w:val="clear" w:pos="360"/>
          <w:tab w:val="left" w:pos="720"/>
        </w:tabs>
        <w:spacing w:after="0"/>
        <w:ind w:right="0"/>
      </w:pPr>
      <w:r>
        <w:t>A.</w:t>
      </w:r>
      <w:r>
        <w:tab/>
      </w:r>
      <w:r w:rsidR="00757C8F">
        <w:t xml:space="preserve">My recommended capital structure for CEHE is </w:t>
      </w:r>
      <w:r w:rsidR="005B78C0">
        <w:t>60</w:t>
      </w:r>
      <w:r w:rsidR="005B78C0" w:rsidRPr="00757C8F">
        <w:t>% long</w:t>
      </w:r>
      <w:r w:rsidR="005B78C0">
        <w:t>-</w:t>
      </w:r>
      <w:r w:rsidR="005B78C0" w:rsidRPr="00757C8F">
        <w:t>term debt</w:t>
      </w:r>
      <w:r w:rsidR="005B78C0">
        <w:t xml:space="preserve"> and </w:t>
      </w:r>
      <w:r w:rsidR="00757C8F">
        <w:t>4</w:t>
      </w:r>
      <w:r w:rsidR="00757C8F" w:rsidRPr="00757C8F">
        <w:t xml:space="preserve">0% </w:t>
      </w:r>
      <w:r w:rsidR="005B78C0">
        <w:t xml:space="preserve">common </w:t>
      </w:r>
      <w:r w:rsidR="00757C8F" w:rsidRPr="00757C8F">
        <w:t>equity</w:t>
      </w:r>
      <w:r w:rsidR="00757C8F">
        <w:t>.</w:t>
      </w:r>
      <w:r w:rsidR="00CD19D8">
        <w:t xml:space="preserve"> </w:t>
      </w:r>
      <w:r w:rsidR="00757C8F">
        <w:t xml:space="preserve"> My recommended capital structure is consistent with </w:t>
      </w:r>
      <w:r w:rsidR="002C266F">
        <w:t xml:space="preserve">the </w:t>
      </w:r>
      <w:r w:rsidR="00757C8F">
        <w:t>Commission’s ruling in Docket No.</w:t>
      </w:r>
      <w:r w:rsidR="002C266F">
        <w:t> </w:t>
      </w:r>
      <w:r w:rsidR="00757C8F">
        <w:t xml:space="preserve">22344, which found that a uniform capital structure consisting of </w:t>
      </w:r>
      <w:r w:rsidR="005B78C0">
        <w:t>60</w:t>
      </w:r>
      <w:r w:rsidR="005B78C0" w:rsidRPr="00757C8F">
        <w:t>% long</w:t>
      </w:r>
      <w:r w:rsidR="005B78C0">
        <w:t>-</w:t>
      </w:r>
      <w:r w:rsidR="005B78C0" w:rsidRPr="00757C8F">
        <w:t>term debt</w:t>
      </w:r>
      <w:r w:rsidR="005B78C0">
        <w:t xml:space="preserve"> and 4</w:t>
      </w:r>
      <w:r w:rsidR="005B78C0" w:rsidRPr="00757C8F">
        <w:t xml:space="preserve">0% </w:t>
      </w:r>
      <w:r w:rsidR="005B78C0">
        <w:t xml:space="preserve">common </w:t>
      </w:r>
      <w:r w:rsidR="005B78C0" w:rsidRPr="00757C8F">
        <w:t>equity</w:t>
      </w:r>
      <w:r w:rsidR="005B78C0">
        <w:t xml:space="preserve"> </w:t>
      </w:r>
      <w:r w:rsidR="00757C8F">
        <w:t>was appropriate for ratemaking</w:t>
      </w:r>
      <w:r w:rsidR="00807B3F">
        <w:t xml:space="preserve"> purposes</w:t>
      </w:r>
      <w:r w:rsidR="00BA7797" w:rsidRPr="00BA7797">
        <w:t xml:space="preserve"> </w:t>
      </w:r>
      <w:r w:rsidR="00BA7797">
        <w:t>for all TDUs operating in Texas</w:t>
      </w:r>
      <w:r w:rsidR="00757C8F">
        <w:t>.</w:t>
      </w:r>
      <w:r w:rsidR="00746747" w:rsidRPr="001A60E8">
        <w:rPr>
          <w:rStyle w:val="FootnoteReference"/>
        </w:rPr>
        <w:footnoteReference w:id="38"/>
      </w:r>
      <w:r w:rsidR="00757C8F">
        <w:t xml:space="preserve">  Following the unbundling of the Texas electric market in 2002, the Commission concluded that TDUs operating in Texas “would face substantially lower risks than those currently faced by the integrated utilities.”</w:t>
      </w:r>
      <w:r w:rsidR="00757C8F">
        <w:rPr>
          <w:rStyle w:val="FootnoteReference"/>
        </w:rPr>
        <w:footnoteReference w:id="39"/>
      </w:r>
      <w:r w:rsidR="00757C8F">
        <w:t xml:space="preserve">  </w:t>
      </w:r>
      <w:r w:rsidR="00332AAF">
        <w:t xml:space="preserve">I believe that the Commission’s conclusion in Docket No. 22344 </w:t>
      </w:r>
      <w:r w:rsidR="00C657EB">
        <w:t xml:space="preserve">remains </w:t>
      </w:r>
      <w:r w:rsidR="00332AAF">
        <w:t>relevant</w:t>
      </w:r>
      <w:r w:rsidR="00B75435">
        <w:t>.</w:t>
      </w:r>
    </w:p>
    <w:p w14:paraId="6D6B3200" w14:textId="77777777" w:rsidR="00D70324" w:rsidRDefault="00D70324" w:rsidP="002C266F">
      <w:pPr>
        <w:pStyle w:val="answer"/>
        <w:tabs>
          <w:tab w:val="clear" w:pos="-3420"/>
          <w:tab w:val="clear" w:pos="360"/>
          <w:tab w:val="left" w:pos="720"/>
        </w:tabs>
        <w:spacing w:after="0"/>
        <w:ind w:right="0"/>
      </w:pPr>
    </w:p>
    <w:p w14:paraId="495BA870" w14:textId="7030D5D0" w:rsidR="00B75435" w:rsidRDefault="00B75435" w:rsidP="00B75435">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Pr>
          <w:rFonts w:ascii="Times New Roman" w:hAnsi="Times New Roman"/>
          <w:b/>
          <w:sz w:val="24"/>
          <w:szCs w:val="24"/>
        </w:rPr>
        <w:t xml:space="preserve">Why do you believe that the Commission’s conclusion in Docket No. 22344 </w:t>
      </w:r>
      <w:r w:rsidR="00ED103B">
        <w:rPr>
          <w:rFonts w:ascii="Times New Roman" w:hAnsi="Times New Roman"/>
          <w:b/>
          <w:sz w:val="24"/>
          <w:szCs w:val="24"/>
        </w:rPr>
        <w:t xml:space="preserve">remains </w:t>
      </w:r>
      <w:r>
        <w:rPr>
          <w:rFonts w:ascii="Times New Roman" w:hAnsi="Times New Roman"/>
          <w:b/>
          <w:sz w:val="24"/>
          <w:szCs w:val="24"/>
        </w:rPr>
        <w:t>relevant?</w:t>
      </w:r>
    </w:p>
    <w:p w14:paraId="0DBBF348" w14:textId="2EB5176E" w:rsidR="004225F9" w:rsidRDefault="00B75435" w:rsidP="001945BF">
      <w:pPr>
        <w:pStyle w:val="answer"/>
        <w:tabs>
          <w:tab w:val="clear" w:pos="-3420"/>
          <w:tab w:val="clear" w:pos="360"/>
          <w:tab w:val="left" w:pos="720"/>
        </w:tabs>
        <w:spacing w:after="0"/>
        <w:ind w:right="0"/>
      </w:pPr>
      <w:r w:rsidRPr="00FF7CA4">
        <w:t>A.</w:t>
      </w:r>
      <w:r w:rsidRPr="00FF7CA4">
        <w:tab/>
      </w:r>
      <w:r w:rsidR="0096710B" w:rsidRPr="0096710B">
        <w:t>I believe that the Commission’s conclusion in Docket No. 22344 remains relevant</w:t>
      </w:r>
      <w:r w:rsidR="0096710B">
        <w:t xml:space="preserve"> </w:t>
      </w:r>
      <w:r w:rsidR="0018181E">
        <w:t>for</w:t>
      </w:r>
      <w:r w:rsidR="002316A9">
        <w:t xml:space="preserve"> two reasons.</w:t>
      </w:r>
      <w:r w:rsidR="00FA744B">
        <w:t xml:space="preserve"> </w:t>
      </w:r>
      <w:r w:rsidR="002316A9">
        <w:t xml:space="preserve"> First, Moody’s and S&amp;P characterize the Texas regulatory environment as “constructive” or “credit positive.”</w:t>
      </w:r>
      <w:r w:rsidR="00FA744B">
        <w:t xml:space="preserve"> </w:t>
      </w:r>
      <w:r w:rsidR="002316A9">
        <w:t xml:space="preserve"> Second, </w:t>
      </w:r>
      <w:r w:rsidR="00104DBC">
        <w:t>t</w:t>
      </w:r>
      <w:r w:rsidR="0039656B">
        <w:t>h</w:t>
      </w:r>
      <w:r w:rsidR="007A0E5D">
        <w:t xml:space="preserve">e Commission recently stated </w:t>
      </w:r>
      <w:r w:rsidR="00987E02">
        <w:t>in its Report on Alternative Ratemaking Mechanisms in Project No. 46046</w:t>
      </w:r>
      <w:r w:rsidR="006237F3" w:rsidRPr="000D0611">
        <w:rPr>
          <w:rStyle w:val="FootnoteReference"/>
        </w:rPr>
        <w:footnoteReference w:id="40"/>
      </w:r>
      <w:r w:rsidR="00987E02">
        <w:t xml:space="preserve"> </w:t>
      </w:r>
      <w:r w:rsidR="007A0E5D">
        <w:t>that</w:t>
      </w:r>
      <w:r w:rsidR="00650351">
        <w:t xml:space="preserve"> it believes that:  (1) </w:t>
      </w:r>
      <w:r w:rsidR="004225F9">
        <w:t xml:space="preserve">the </w:t>
      </w:r>
      <w:r w:rsidR="007A0E5D">
        <w:t xml:space="preserve">ratemaking mechanisms for </w:t>
      </w:r>
      <w:r w:rsidR="00360FD7">
        <w:t>TDUs</w:t>
      </w:r>
      <w:r w:rsidR="007A0E5D">
        <w:t xml:space="preserve"> that operate within </w:t>
      </w:r>
      <w:r w:rsidR="009952DD">
        <w:t xml:space="preserve">the </w:t>
      </w:r>
      <w:r w:rsidR="009952DD" w:rsidRPr="002C48C9">
        <w:t xml:space="preserve">Electric Reliability Council of Texas </w:t>
      </w:r>
      <w:r w:rsidR="009952DD">
        <w:t>(ERCOT)</w:t>
      </w:r>
      <w:r w:rsidR="007A0E5D">
        <w:t xml:space="preserve"> are </w:t>
      </w:r>
      <w:r w:rsidR="004225F9">
        <w:t xml:space="preserve">not </w:t>
      </w:r>
      <w:r w:rsidR="007A0E5D">
        <w:t>in need of major revision</w:t>
      </w:r>
      <w:r w:rsidR="00650351">
        <w:t xml:space="preserve">, (2) </w:t>
      </w:r>
      <w:r w:rsidR="007A0E5D">
        <w:t>t</w:t>
      </w:r>
      <w:r w:rsidR="004225F9">
        <w:t>he existing streamlined methods of recovery are</w:t>
      </w:r>
      <w:r w:rsidR="007A0E5D">
        <w:t xml:space="preserve"> </w:t>
      </w:r>
      <w:r w:rsidR="004225F9">
        <w:t xml:space="preserve">generally achieving their intended purposes, </w:t>
      </w:r>
      <w:r w:rsidR="00993BEF">
        <w:t xml:space="preserve">and </w:t>
      </w:r>
      <w:r w:rsidR="004225F9">
        <w:t xml:space="preserve">(3) the existing paradigm, in which periodic rate proceedings are used in combination with already available streamlined recovery mechanisms, is an efficient and </w:t>
      </w:r>
      <w:r w:rsidR="00636116">
        <w:t>effective</w:t>
      </w:r>
      <w:r w:rsidR="004225F9">
        <w:t xml:space="preserve"> way to balance the interests of all stakeholders and </w:t>
      </w:r>
      <w:r w:rsidR="00636116">
        <w:t>ensure</w:t>
      </w:r>
      <w:r w:rsidR="004225F9">
        <w:t xml:space="preserve"> that electric rates are just and reasonable. </w:t>
      </w:r>
      <w:r w:rsidR="005B6051">
        <w:t xml:space="preserve"> I believe all these factors reflect the low risk environment for TDUs operating in</w:t>
      </w:r>
      <w:r w:rsidR="002B4637">
        <w:t xml:space="preserve"> ERCOT</w:t>
      </w:r>
      <w:r w:rsidR="000D7623">
        <w:t xml:space="preserve">; </w:t>
      </w:r>
      <w:r w:rsidR="005B6051">
        <w:t>therefore</w:t>
      </w:r>
      <w:r w:rsidR="000D7623">
        <w:t>,</w:t>
      </w:r>
      <w:r w:rsidR="005B6051">
        <w:t xml:space="preserve"> I recommend a capital structure of </w:t>
      </w:r>
      <w:r w:rsidR="005B6051" w:rsidRPr="005B6051">
        <w:t>60% long-term debt and 40% common equity</w:t>
      </w:r>
      <w:r w:rsidR="005B6051">
        <w:t>.</w:t>
      </w:r>
    </w:p>
    <w:p w14:paraId="63C36332" w14:textId="45631CC3" w:rsidR="00455B0E" w:rsidRDefault="00455B0E" w:rsidP="00455B0E">
      <w:pPr>
        <w:pStyle w:val="PlainText"/>
        <w:tabs>
          <w:tab w:val="left" w:pos="720"/>
          <w:tab w:val="left" w:pos="1080"/>
        </w:tabs>
        <w:spacing w:line="480" w:lineRule="auto"/>
        <w:ind w:left="720" w:hanging="720"/>
        <w:jc w:val="both"/>
        <w:rPr>
          <w:rFonts w:ascii="Times New Roman" w:hAnsi="Times New Roman"/>
          <w:b/>
          <w:sz w:val="24"/>
          <w:szCs w:val="24"/>
        </w:rPr>
      </w:pPr>
      <w:r w:rsidRPr="00FF7CA4">
        <w:rPr>
          <w:rFonts w:ascii="Times New Roman" w:hAnsi="Times New Roman"/>
          <w:b/>
          <w:sz w:val="24"/>
          <w:szCs w:val="24"/>
        </w:rPr>
        <w:t>Q.</w:t>
      </w:r>
      <w:r w:rsidRPr="00FF7CA4">
        <w:rPr>
          <w:rFonts w:ascii="Times New Roman" w:hAnsi="Times New Roman"/>
          <w:b/>
          <w:sz w:val="24"/>
          <w:szCs w:val="24"/>
        </w:rPr>
        <w:tab/>
      </w:r>
      <w:r>
        <w:rPr>
          <w:rFonts w:ascii="Times New Roman" w:hAnsi="Times New Roman"/>
          <w:b/>
          <w:sz w:val="24"/>
          <w:szCs w:val="24"/>
        </w:rPr>
        <w:t xml:space="preserve">Is your </w:t>
      </w:r>
      <w:r w:rsidRPr="00455B0E">
        <w:rPr>
          <w:rFonts w:ascii="Times New Roman" w:hAnsi="Times New Roman"/>
          <w:b/>
          <w:sz w:val="24"/>
          <w:szCs w:val="24"/>
        </w:rPr>
        <w:t>recommended capital structure of 60% long-term debt and 40% common equity</w:t>
      </w:r>
      <w:r>
        <w:rPr>
          <w:rFonts w:ascii="Times New Roman" w:hAnsi="Times New Roman"/>
          <w:b/>
          <w:sz w:val="24"/>
          <w:szCs w:val="24"/>
        </w:rPr>
        <w:t xml:space="preserve"> </w:t>
      </w:r>
      <w:r w:rsidRPr="00455B0E">
        <w:rPr>
          <w:rFonts w:ascii="Times New Roman" w:hAnsi="Times New Roman"/>
          <w:b/>
          <w:sz w:val="24"/>
          <w:szCs w:val="24"/>
        </w:rPr>
        <w:t>consistent with capital structures authorized by the Commission for TDUs operating in Texas</w:t>
      </w:r>
      <w:r>
        <w:rPr>
          <w:rFonts w:ascii="Times New Roman" w:hAnsi="Times New Roman"/>
          <w:b/>
          <w:sz w:val="24"/>
          <w:szCs w:val="24"/>
        </w:rPr>
        <w:t>?</w:t>
      </w:r>
    </w:p>
    <w:p w14:paraId="181241CC" w14:textId="53DAA00C" w:rsidR="002C266F" w:rsidRDefault="00455B0E" w:rsidP="00455B0E">
      <w:pPr>
        <w:pStyle w:val="answer"/>
        <w:tabs>
          <w:tab w:val="clear" w:pos="-3420"/>
          <w:tab w:val="clear" w:pos="360"/>
          <w:tab w:val="left" w:pos="720"/>
        </w:tabs>
        <w:spacing w:after="0"/>
        <w:ind w:right="0"/>
      </w:pPr>
      <w:r w:rsidRPr="00FF7CA4">
        <w:t>A.</w:t>
      </w:r>
      <w:r w:rsidRPr="00FF7CA4">
        <w:tab/>
      </w:r>
      <w:r>
        <w:t xml:space="preserve">Yes. </w:t>
      </w:r>
      <w:r w:rsidR="004225F9">
        <w:t xml:space="preserve"> </w:t>
      </w:r>
      <w:r w:rsidR="00B90140">
        <w:t xml:space="preserve"> </w:t>
      </w:r>
      <w:r w:rsidR="002C266F">
        <w:t xml:space="preserve">My recommended capital structure </w:t>
      </w:r>
      <w:r w:rsidR="00746747">
        <w:t>of 60</w:t>
      </w:r>
      <w:r w:rsidR="00746747" w:rsidRPr="00757C8F">
        <w:t>% long</w:t>
      </w:r>
      <w:r w:rsidR="00746747">
        <w:t>-</w:t>
      </w:r>
      <w:r w:rsidR="00746747" w:rsidRPr="00757C8F">
        <w:t>term debt</w:t>
      </w:r>
      <w:r w:rsidR="00746747">
        <w:t xml:space="preserve"> and 4</w:t>
      </w:r>
      <w:r w:rsidR="00746747" w:rsidRPr="00757C8F">
        <w:t xml:space="preserve">0% </w:t>
      </w:r>
      <w:r w:rsidR="00746747">
        <w:t xml:space="preserve">common </w:t>
      </w:r>
      <w:r w:rsidR="00746747" w:rsidRPr="00757C8F">
        <w:t>equity</w:t>
      </w:r>
      <w:r w:rsidR="002C266F">
        <w:t xml:space="preserve"> is consistent with capital structures authorized by the Commission for the majority of TDUs operating in Texas</w:t>
      </w:r>
      <w:r w:rsidR="00746747">
        <w:t>.</w:t>
      </w:r>
      <w:r w:rsidR="002C266F">
        <w:rPr>
          <w:rStyle w:val="FootnoteReference"/>
        </w:rPr>
        <w:footnoteReference w:id="41"/>
      </w:r>
    </w:p>
    <w:p w14:paraId="2B904FB1" w14:textId="0C94D1A8" w:rsidR="006229A7" w:rsidRDefault="00325EDD" w:rsidP="00AC1281">
      <w:pPr>
        <w:pStyle w:val="Heading1"/>
        <w:numPr>
          <w:ilvl w:val="0"/>
          <w:numId w:val="1"/>
        </w:numPr>
        <w:spacing w:line="480" w:lineRule="auto"/>
        <w:jc w:val="both"/>
        <w:rPr>
          <w:sz w:val="24"/>
          <w:szCs w:val="24"/>
        </w:rPr>
      </w:pPr>
      <w:bookmarkStart w:id="34" w:name="_Toc10117675"/>
      <w:r>
        <w:rPr>
          <w:sz w:val="24"/>
          <w:szCs w:val="24"/>
        </w:rPr>
        <w:t>OVERALL RATE OF RETURN</w:t>
      </w:r>
      <w:bookmarkEnd w:id="34"/>
    </w:p>
    <w:bookmarkEnd w:id="11"/>
    <w:bookmarkEnd w:id="12"/>
    <w:p w14:paraId="163FD300" w14:textId="77777777" w:rsidR="005624EA" w:rsidRPr="0088510E" w:rsidRDefault="005624EA" w:rsidP="00A270D3">
      <w:pPr>
        <w:pStyle w:val="question"/>
      </w:pPr>
      <w:r>
        <w:t>Q.</w:t>
      </w:r>
      <w:r>
        <w:tab/>
      </w:r>
      <w:r w:rsidRPr="0088510E">
        <w:t xml:space="preserve">How </w:t>
      </w:r>
      <w:r>
        <w:t xml:space="preserve">did you calculate the </w:t>
      </w:r>
      <w:r w:rsidRPr="0088510E">
        <w:t>overa</w:t>
      </w:r>
      <w:r>
        <w:t>ll cost of capital</w:t>
      </w:r>
      <w:r w:rsidRPr="0088510E">
        <w:t>?</w:t>
      </w:r>
    </w:p>
    <w:p w14:paraId="298E71DB" w14:textId="3C2BDD05" w:rsidR="005624EA" w:rsidRPr="003F7266" w:rsidRDefault="005624EA" w:rsidP="005624EA">
      <w:pPr>
        <w:pStyle w:val="answer"/>
        <w:tabs>
          <w:tab w:val="clear" w:pos="-3420"/>
          <w:tab w:val="clear" w:pos="360"/>
          <w:tab w:val="left" w:pos="720"/>
        </w:tabs>
        <w:spacing w:after="0"/>
        <w:ind w:right="0"/>
      </w:pPr>
      <w:r>
        <w:t>A.</w:t>
      </w:r>
      <w:r w:rsidRPr="005624EA">
        <w:tab/>
      </w:r>
      <w:r w:rsidRPr="003F7266">
        <w:t xml:space="preserve">To calculate the recommended rate of return for </w:t>
      </w:r>
      <w:r w:rsidR="00944DB9">
        <w:t>CEHE</w:t>
      </w:r>
      <w:r w:rsidR="00735087">
        <w:t xml:space="preserve">, I employed the weighted </w:t>
      </w:r>
      <w:r w:rsidRPr="003F7266">
        <w:t>average cost</w:t>
      </w:r>
      <w:r w:rsidR="00FF5BC1">
        <w:t xml:space="preserve"> </w:t>
      </w:r>
      <w:r w:rsidRPr="003F7266">
        <w:t>of</w:t>
      </w:r>
      <w:r w:rsidR="00FF5BC1">
        <w:t xml:space="preserve"> </w:t>
      </w:r>
      <w:r w:rsidRPr="003F7266">
        <w:t>capital methodology, the use of which involves three steps in a regulatory setting.</w:t>
      </w:r>
    </w:p>
    <w:p w14:paraId="58B2A3A4" w14:textId="0C741D5A" w:rsidR="005624EA" w:rsidRPr="00FC09F3" w:rsidRDefault="008115B9" w:rsidP="005624EA">
      <w:pPr>
        <w:pStyle w:val="answer"/>
        <w:tabs>
          <w:tab w:val="clear" w:pos="-3420"/>
          <w:tab w:val="clear" w:pos="360"/>
          <w:tab w:val="left" w:pos="720"/>
        </w:tabs>
        <w:spacing w:after="0"/>
        <w:ind w:right="0"/>
        <w:rPr>
          <w:highlight w:val="yellow"/>
        </w:rPr>
      </w:pPr>
      <w:r w:rsidRPr="003F7266">
        <w:tab/>
      </w:r>
      <w:r w:rsidR="008B660E">
        <w:tab/>
      </w:r>
      <w:r w:rsidR="005624EA" w:rsidRPr="003F7266">
        <w:t xml:space="preserve">First, the analyst must identify the sources of capital and estimate the component cost of each source of capital in the target company’s capital structure.  Sources of capital generally consist of long-term debt and common equity in the electric utility regulatory setting.  The determination of </w:t>
      </w:r>
      <w:r w:rsidR="002B4034">
        <w:t xml:space="preserve">the </w:t>
      </w:r>
      <w:r w:rsidR="005624EA" w:rsidRPr="003F7266">
        <w:t xml:space="preserve">cost </w:t>
      </w:r>
      <w:r w:rsidR="002B4034">
        <w:t xml:space="preserve">of </w:t>
      </w:r>
      <w:r w:rsidR="005624EA" w:rsidRPr="003F7266">
        <w:t>long-term debt is relatively straightforward because the costs of this capital source are embedded—</w:t>
      </w:r>
      <w:r w:rsidR="00F46B82">
        <w:t>i.e.,</w:t>
      </w:r>
      <w:r w:rsidR="005624EA" w:rsidRPr="003F7266">
        <w:t xml:space="preserve"> they are set by contractual obligation and </w:t>
      </w:r>
      <w:r w:rsidR="00320F1E" w:rsidRPr="003F7266">
        <w:t xml:space="preserve">therefore </w:t>
      </w:r>
      <w:r w:rsidR="005624EA" w:rsidRPr="003F7266">
        <w:t>are directly observable.  In contrast, the cost of equity is not directly observable and must be estimated using analytical models</w:t>
      </w:r>
      <w:r w:rsidR="001C7C9C">
        <w:t xml:space="preserve"> </w:t>
      </w:r>
      <w:r w:rsidR="005624EA" w:rsidRPr="003F7266">
        <w:t xml:space="preserve">as I </w:t>
      </w:r>
      <w:r w:rsidR="001C7C9C">
        <w:t>described</w:t>
      </w:r>
      <w:r w:rsidR="005624EA" w:rsidRPr="003F7266">
        <w:t xml:space="preserve"> in Parts A through E of Section V of my testimony.</w:t>
      </w:r>
    </w:p>
    <w:p w14:paraId="583CB68C" w14:textId="092DC2BF" w:rsidR="005624EA" w:rsidRPr="003F7266" w:rsidRDefault="008B660E" w:rsidP="005624EA">
      <w:pPr>
        <w:pStyle w:val="answer"/>
        <w:tabs>
          <w:tab w:val="clear" w:pos="-3420"/>
          <w:tab w:val="clear" w:pos="360"/>
          <w:tab w:val="left" w:pos="720"/>
        </w:tabs>
        <w:spacing w:after="0"/>
        <w:ind w:right="0"/>
      </w:pPr>
      <w:r>
        <w:tab/>
      </w:r>
      <w:r>
        <w:tab/>
      </w:r>
      <w:r w:rsidR="005624EA" w:rsidRPr="003F7266">
        <w:t xml:space="preserve">Second, the analyst must recommend an appropriate capital structure for regulatory purposes.  For each </w:t>
      </w:r>
      <w:r w:rsidR="001C7C9C" w:rsidRPr="003F7266">
        <w:t xml:space="preserve">identified </w:t>
      </w:r>
      <w:r w:rsidR="005624EA" w:rsidRPr="003F7266">
        <w:t>source of capital, the analyst must recommend an appropriate weight.  I do this in Section VII of my testimony.</w:t>
      </w:r>
    </w:p>
    <w:p w14:paraId="2C340F3F" w14:textId="7CA5522B" w:rsidR="005624EA" w:rsidRPr="008115B9" w:rsidRDefault="005624EA" w:rsidP="00171B90">
      <w:pPr>
        <w:pStyle w:val="PlainText"/>
        <w:spacing w:after="120" w:line="480" w:lineRule="auto"/>
        <w:ind w:left="720" w:firstLine="720"/>
        <w:jc w:val="both"/>
        <w:rPr>
          <w:rFonts w:ascii="Times New Roman" w:hAnsi="Times New Roman"/>
          <w:sz w:val="24"/>
          <w:szCs w:val="24"/>
        </w:rPr>
      </w:pPr>
      <w:r w:rsidRPr="003F7266">
        <w:rPr>
          <w:rFonts w:ascii="Times New Roman" w:hAnsi="Times New Roman"/>
          <w:sz w:val="24"/>
          <w:szCs w:val="24"/>
        </w:rPr>
        <w:t xml:space="preserve">Third, the </w:t>
      </w:r>
      <w:r w:rsidR="002B4034">
        <w:rPr>
          <w:rFonts w:ascii="Times New Roman" w:hAnsi="Times New Roman"/>
          <w:sz w:val="24"/>
          <w:szCs w:val="24"/>
        </w:rPr>
        <w:t xml:space="preserve">analyst much weigh the </w:t>
      </w:r>
      <w:r w:rsidRPr="003F7266">
        <w:rPr>
          <w:rFonts w:ascii="Times New Roman" w:hAnsi="Times New Roman"/>
          <w:sz w:val="24"/>
          <w:szCs w:val="24"/>
        </w:rPr>
        <w:t xml:space="preserve">cost of each </w:t>
      </w:r>
      <w:r w:rsidR="001C7C9C">
        <w:rPr>
          <w:rFonts w:ascii="Times New Roman" w:hAnsi="Times New Roman"/>
          <w:sz w:val="24"/>
          <w:szCs w:val="24"/>
        </w:rPr>
        <w:t xml:space="preserve">source of </w:t>
      </w:r>
      <w:r w:rsidRPr="003F7266">
        <w:rPr>
          <w:rFonts w:ascii="Times New Roman" w:hAnsi="Times New Roman"/>
          <w:sz w:val="24"/>
          <w:szCs w:val="24"/>
        </w:rPr>
        <w:t>capital by its relative proportion in the recommended capital structure.  The sum of these weighted component costs represents the weighted</w:t>
      </w:r>
      <w:r w:rsidR="001C7C9C">
        <w:rPr>
          <w:rFonts w:ascii="Times New Roman" w:hAnsi="Times New Roman"/>
          <w:sz w:val="24"/>
          <w:szCs w:val="24"/>
        </w:rPr>
        <w:t xml:space="preserve"> </w:t>
      </w:r>
      <w:r w:rsidRPr="003F7266">
        <w:rPr>
          <w:rFonts w:ascii="Times New Roman" w:hAnsi="Times New Roman"/>
          <w:sz w:val="24"/>
          <w:szCs w:val="24"/>
        </w:rPr>
        <w:t>average cost of capital—</w:t>
      </w:r>
      <w:r w:rsidR="00634F63">
        <w:rPr>
          <w:rFonts w:ascii="Times New Roman" w:hAnsi="Times New Roman"/>
          <w:sz w:val="24"/>
          <w:szCs w:val="24"/>
        </w:rPr>
        <w:t>i.e.,</w:t>
      </w:r>
      <w:r w:rsidRPr="003F7266">
        <w:rPr>
          <w:rFonts w:ascii="Times New Roman" w:hAnsi="Times New Roman"/>
          <w:sz w:val="24"/>
          <w:szCs w:val="24"/>
        </w:rPr>
        <w:t xml:space="preserve"> the overall rate of return.  For ratemaking purposes, this overall rate of return is multiplied by the utility’s invested capital (the rate base) in order to calculate the return component of the cost of service.</w:t>
      </w:r>
    </w:p>
    <w:p w14:paraId="6439BD6D" w14:textId="30B09E81" w:rsidR="005624EA" w:rsidRPr="008115B9" w:rsidRDefault="005624EA" w:rsidP="005624EA">
      <w:pPr>
        <w:pStyle w:val="question"/>
        <w:numPr>
          <w:ilvl w:val="0"/>
          <w:numId w:val="16"/>
        </w:numPr>
        <w:tabs>
          <w:tab w:val="clear" w:pos="360"/>
        </w:tabs>
        <w:ind w:left="720" w:hanging="720"/>
      </w:pPr>
      <w:r w:rsidRPr="008115B9">
        <w:t xml:space="preserve">What overall rate of return are you proposing for </w:t>
      </w:r>
      <w:r w:rsidR="006273FD">
        <w:t>CEHE</w:t>
      </w:r>
      <w:r w:rsidRPr="008115B9">
        <w:t xml:space="preserve"> in this proceeding?</w:t>
      </w:r>
    </w:p>
    <w:p w14:paraId="1624DAC3" w14:textId="22135E18" w:rsidR="005624EA" w:rsidRPr="00CB3D1A" w:rsidRDefault="005624EA" w:rsidP="008B660E">
      <w:pPr>
        <w:pStyle w:val="answer"/>
        <w:numPr>
          <w:ilvl w:val="0"/>
          <w:numId w:val="15"/>
        </w:numPr>
        <w:tabs>
          <w:tab w:val="clear" w:pos="360"/>
          <w:tab w:val="num" w:pos="-3420"/>
          <w:tab w:val="left" w:pos="720"/>
        </w:tabs>
        <w:spacing w:after="120"/>
        <w:ind w:left="720" w:right="0" w:hanging="720"/>
        <w:rPr>
          <w:b/>
          <w:caps/>
        </w:rPr>
      </w:pPr>
      <w:r w:rsidRPr="008115B9">
        <w:t xml:space="preserve">As shown </w:t>
      </w:r>
      <w:r w:rsidR="002B4034">
        <w:t>in</w:t>
      </w:r>
      <w:r w:rsidRPr="008115B9">
        <w:t xml:space="preserve"> Attachment </w:t>
      </w:r>
      <w:r w:rsidR="00944DB9">
        <w:t>JO</w:t>
      </w:r>
      <w:r w:rsidRPr="008115B9">
        <w:t xml:space="preserve">-1, </w:t>
      </w:r>
      <w:r w:rsidR="001C7C9C">
        <w:t xml:space="preserve">I am proposing a </w:t>
      </w:r>
      <w:r w:rsidR="001C7C9C" w:rsidRPr="008115B9">
        <w:t>weighted</w:t>
      </w:r>
      <w:r w:rsidR="001C7C9C">
        <w:t xml:space="preserve"> </w:t>
      </w:r>
      <w:r w:rsidR="001C7C9C" w:rsidRPr="008115B9">
        <w:t xml:space="preserve">average cost of capital of </w:t>
      </w:r>
      <w:r w:rsidR="001C7C9C">
        <w:t>6.41</w:t>
      </w:r>
      <w:r w:rsidR="001C7C9C" w:rsidRPr="008115B9">
        <w:t>%.</w:t>
      </w:r>
      <w:r w:rsidR="001C7C9C">
        <w:t xml:space="preserve"> </w:t>
      </w:r>
      <w:r w:rsidR="00CD19D8">
        <w:t xml:space="preserve"> </w:t>
      </w:r>
      <w:r w:rsidR="001C7C9C">
        <w:t>This reflect</w:t>
      </w:r>
      <w:r w:rsidR="00AC3595">
        <w:t>s</w:t>
      </w:r>
      <w:r w:rsidR="001C7C9C">
        <w:t xml:space="preserve"> </w:t>
      </w:r>
      <w:r w:rsidRPr="008115B9">
        <w:t>the Company’s cost of debt and capital structure</w:t>
      </w:r>
      <w:r w:rsidR="001C7C9C">
        <w:t xml:space="preserve"> </w:t>
      </w:r>
      <w:r w:rsidRPr="008115B9">
        <w:t>combined with my recommended cost of equity</w:t>
      </w:r>
      <w:r w:rsidR="001C7C9C">
        <w:t>.</w:t>
      </w:r>
      <w:r w:rsidRPr="008115B9">
        <w:t xml:space="preserve"> </w:t>
      </w:r>
      <w:r w:rsidRPr="008115B9">
        <w:rPr>
          <w:rFonts w:ascii="Times" w:hAnsi="Times"/>
          <w:szCs w:val="20"/>
        </w:rPr>
        <w:t xml:space="preserve">  </w:t>
      </w:r>
    </w:p>
    <w:p w14:paraId="6E569EA1" w14:textId="77777777" w:rsidR="00CB3D1A" w:rsidRPr="00876878" w:rsidRDefault="00CB3D1A" w:rsidP="00962BB0">
      <w:pPr>
        <w:pStyle w:val="Heading1"/>
        <w:numPr>
          <w:ilvl w:val="0"/>
          <w:numId w:val="1"/>
        </w:numPr>
        <w:spacing w:line="480" w:lineRule="auto"/>
        <w:jc w:val="both"/>
      </w:pPr>
      <w:bookmarkStart w:id="35" w:name="_Toc10117676"/>
      <w:r w:rsidRPr="00F703C8">
        <w:rPr>
          <w:sz w:val="24"/>
          <w:szCs w:val="24"/>
        </w:rPr>
        <w:t>HURRICANE HARVEY CARRYING COSTS</w:t>
      </w:r>
      <w:bookmarkEnd w:id="35"/>
    </w:p>
    <w:p w14:paraId="0C1085F2" w14:textId="77777777" w:rsidR="00CB3D1A" w:rsidRPr="006A5F0F" w:rsidRDefault="00CB3D1A" w:rsidP="00CB3D1A">
      <w:pPr>
        <w:pStyle w:val="A"/>
        <w:spacing w:after="0" w:line="480" w:lineRule="auto"/>
        <w:rPr>
          <w:b/>
          <w:szCs w:val="24"/>
        </w:rPr>
      </w:pPr>
      <w:r w:rsidRPr="0092752C">
        <w:rPr>
          <w:b/>
        </w:rPr>
        <w:t>Q.</w:t>
      </w:r>
      <w:r w:rsidRPr="0092752C">
        <w:rPr>
          <w:b/>
        </w:rPr>
        <w:tab/>
      </w:r>
      <w:r>
        <w:rPr>
          <w:b/>
        </w:rPr>
        <w:t>Is CEHE requesting recovery of restoration costs associated with Hurricane Harvey?</w:t>
      </w:r>
    </w:p>
    <w:p w14:paraId="70EF4757" w14:textId="77777777" w:rsidR="00CB3D1A" w:rsidRDefault="00CB3D1A" w:rsidP="00CB3D1A">
      <w:pPr>
        <w:pStyle w:val="A"/>
        <w:spacing w:line="480" w:lineRule="auto"/>
        <w:rPr>
          <w:szCs w:val="24"/>
        </w:rPr>
      </w:pPr>
      <w:r w:rsidRPr="006A5F0F">
        <w:rPr>
          <w:szCs w:val="24"/>
        </w:rPr>
        <w:t>A.</w:t>
      </w:r>
      <w:r w:rsidRPr="006A5F0F">
        <w:rPr>
          <w:szCs w:val="24"/>
        </w:rPr>
        <w:tab/>
      </w:r>
      <w:r w:rsidRPr="00805B70">
        <w:rPr>
          <w:szCs w:val="24"/>
        </w:rPr>
        <w:t xml:space="preserve">Yes.  </w:t>
      </w:r>
      <w:r>
        <w:rPr>
          <w:szCs w:val="24"/>
        </w:rPr>
        <w:t>The Company requests approximately $64.4 million of restoration costs incurred to repair damage to CEHE’s electric system caused by Hurricane Harvey.</w:t>
      </w:r>
      <w:r w:rsidRPr="00805B70">
        <w:rPr>
          <w:szCs w:val="24"/>
        </w:rPr>
        <w:t xml:space="preserve">  </w:t>
      </w:r>
    </w:p>
    <w:p w14:paraId="2690B7D0" w14:textId="77777777" w:rsidR="00CB3D1A" w:rsidRPr="006A5F0F" w:rsidRDefault="00CB3D1A" w:rsidP="00CB3D1A">
      <w:pPr>
        <w:pStyle w:val="A"/>
        <w:spacing w:after="0" w:line="480" w:lineRule="auto"/>
        <w:rPr>
          <w:b/>
          <w:szCs w:val="24"/>
        </w:rPr>
      </w:pPr>
      <w:r w:rsidRPr="0092752C">
        <w:rPr>
          <w:b/>
        </w:rPr>
        <w:t>Q.</w:t>
      </w:r>
      <w:r w:rsidRPr="0092752C">
        <w:rPr>
          <w:b/>
        </w:rPr>
        <w:tab/>
      </w:r>
      <w:r>
        <w:rPr>
          <w:b/>
        </w:rPr>
        <w:t>Does the requested amount of approximately $64.4 million include carrying costs?</w:t>
      </w:r>
    </w:p>
    <w:p w14:paraId="18E86CEC" w14:textId="12880AB7" w:rsidR="00CB3D1A" w:rsidRDefault="00CB3D1A" w:rsidP="00CB3D1A">
      <w:pPr>
        <w:pStyle w:val="A"/>
        <w:spacing w:line="480" w:lineRule="auto"/>
        <w:rPr>
          <w:szCs w:val="24"/>
        </w:rPr>
      </w:pPr>
      <w:r w:rsidRPr="006A5F0F">
        <w:rPr>
          <w:szCs w:val="24"/>
        </w:rPr>
        <w:t>A.</w:t>
      </w:r>
      <w:r w:rsidRPr="006A5F0F">
        <w:rPr>
          <w:szCs w:val="24"/>
        </w:rPr>
        <w:tab/>
      </w:r>
      <w:r>
        <w:rPr>
          <w:szCs w:val="24"/>
        </w:rPr>
        <w:t>No.</w:t>
      </w:r>
      <w:r w:rsidR="00FA06B3">
        <w:rPr>
          <w:szCs w:val="24"/>
        </w:rPr>
        <w:t xml:space="preserve"> </w:t>
      </w:r>
      <w:r>
        <w:rPr>
          <w:szCs w:val="24"/>
        </w:rPr>
        <w:t xml:space="preserve"> In response to Staff</w:t>
      </w:r>
      <w:r w:rsidR="00AA3205">
        <w:rPr>
          <w:szCs w:val="24"/>
        </w:rPr>
        <w:t>’s</w:t>
      </w:r>
      <w:r>
        <w:rPr>
          <w:szCs w:val="24"/>
        </w:rPr>
        <w:t xml:space="preserve"> RFI 8-14, CEHE:  (1) indicates that it inadvertently did not include carrying costs in its Application, (2) calculates the amount of </w:t>
      </w:r>
      <w:r w:rsidR="006C7DCF">
        <w:rPr>
          <w:szCs w:val="24"/>
        </w:rPr>
        <w:t xml:space="preserve">those omitted carrying costs as </w:t>
      </w:r>
      <w:r>
        <w:rPr>
          <w:szCs w:val="24"/>
        </w:rPr>
        <w:t>$</w:t>
      </w:r>
      <w:r w:rsidRPr="0061181B">
        <w:rPr>
          <w:szCs w:val="24"/>
        </w:rPr>
        <w:t>8,742,49</w:t>
      </w:r>
      <w:r>
        <w:rPr>
          <w:szCs w:val="24"/>
        </w:rPr>
        <w:t>7, and (3) indicates that</w:t>
      </w:r>
      <w:r w:rsidR="00241C27">
        <w:rPr>
          <w:szCs w:val="24"/>
        </w:rPr>
        <w:t>,</w:t>
      </w:r>
      <w:r>
        <w:rPr>
          <w:szCs w:val="24"/>
        </w:rPr>
        <w:t xml:space="preserve"> in its May 20, 2019 errata filing, </w:t>
      </w:r>
      <w:r w:rsidR="00241C27">
        <w:rPr>
          <w:szCs w:val="24"/>
        </w:rPr>
        <w:t xml:space="preserve">it </w:t>
      </w:r>
      <w:r>
        <w:rPr>
          <w:szCs w:val="24"/>
        </w:rPr>
        <w:t>is requesting to recover th</w:t>
      </w:r>
      <w:r w:rsidR="006C7DCF">
        <w:rPr>
          <w:szCs w:val="24"/>
        </w:rPr>
        <w:t>ose</w:t>
      </w:r>
      <w:r w:rsidR="00585204">
        <w:rPr>
          <w:szCs w:val="24"/>
        </w:rPr>
        <w:t xml:space="preserve"> omitted carrying</w:t>
      </w:r>
      <w:r>
        <w:rPr>
          <w:szCs w:val="24"/>
        </w:rPr>
        <w:t xml:space="preserve"> costs.   </w:t>
      </w:r>
    </w:p>
    <w:p w14:paraId="27A762B7" w14:textId="3F206913" w:rsidR="00CB3D1A" w:rsidRPr="006A5F0F" w:rsidRDefault="00CB3D1A" w:rsidP="00CB3D1A">
      <w:pPr>
        <w:pStyle w:val="A"/>
        <w:spacing w:after="0" w:line="480" w:lineRule="auto"/>
        <w:rPr>
          <w:b/>
          <w:szCs w:val="24"/>
        </w:rPr>
      </w:pPr>
      <w:r w:rsidRPr="0092752C">
        <w:rPr>
          <w:b/>
        </w:rPr>
        <w:t>Q.</w:t>
      </w:r>
      <w:r w:rsidRPr="0092752C">
        <w:rPr>
          <w:b/>
        </w:rPr>
        <w:tab/>
      </w:r>
      <w:r>
        <w:rPr>
          <w:b/>
        </w:rPr>
        <w:t xml:space="preserve">Did the Company correctly </w:t>
      </w:r>
      <w:r w:rsidR="00607B72">
        <w:rPr>
          <w:b/>
        </w:rPr>
        <w:t>calculate</w:t>
      </w:r>
      <w:r>
        <w:rPr>
          <w:b/>
        </w:rPr>
        <w:t xml:space="preserve"> the carrying cost amount of </w:t>
      </w:r>
      <w:r w:rsidRPr="00172660">
        <w:rPr>
          <w:b/>
        </w:rPr>
        <w:t>$8,742,497</w:t>
      </w:r>
      <w:r>
        <w:rPr>
          <w:b/>
        </w:rPr>
        <w:t>?</w:t>
      </w:r>
    </w:p>
    <w:p w14:paraId="5B82DD2C" w14:textId="07B5F92B" w:rsidR="00CB3D1A" w:rsidRDefault="00CB3D1A" w:rsidP="00CB3D1A">
      <w:pPr>
        <w:pStyle w:val="A"/>
        <w:spacing w:line="480" w:lineRule="auto"/>
        <w:rPr>
          <w:szCs w:val="24"/>
        </w:rPr>
      </w:pPr>
      <w:r w:rsidRPr="006A5F0F">
        <w:rPr>
          <w:szCs w:val="24"/>
        </w:rPr>
        <w:t>A.</w:t>
      </w:r>
      <w:r w:rsidRPr="006A5F0F">
        <w:rPr>
          <w:szCs w:val="24"/>
        </w:rPr>
        <w:tab/>
      </w:r>
      <w:r>
        <w:rPr>
          <w:szCs w:val="24"/>
        </w:rPr>
        <w:t>Yes.</w:t>
      </w:r>
      <w:r w:rsidR="00607B72">
        <w:rPr>
          <w:szCs w:val="24"/>
        </w:rPr>
        <w:t xml:space="preserve"> </w:t>
      </w:r>
      <w:r>
        <w:rPr>
          <w:szCs w:val="24"/>
        </w:rPr>
        <w:t xml:space="preserve"> I reviewed the calculation</w:t>
      </w:r>
      <w:r w:rsidR="008F0125">
        <w:rPr>
          <w:szCs w:val="24"/>
        </w:rPr>
        <w:t xml:space="preserve"> and agree with the Company’s methodology</w:t>
      </w:r>
      <w:r>
        <w:rPr>
          <w:szCs w:val="24"/>
        </w:rPr>
        <w:t>.</w:t>
      </w:r>
    </w:p>
    <w:p w14:paraId="466BC0E4" w14:textId="77777777" w:rsidR="00CB3D1A" w:rsidRPr="006A5F0F" w:rsidRDefault="00CB3D1A" w:rsidP="00CB3D1A">
      <w:pPr>
        <w:pStyle w:val="A"/>
        <w:spacing w:after="0" w:line="480" w:lineRule="auto"/>
        <w:rPr>
          <w:b/>
          <w:szCs w:val="24"/>
        </w:rPr>
      </w:pPr>
      <w:r w:rsidRPr="0092752C">
        <w:rPr>
          <w:b/>
        </w:rPr>
        <w:t>Q.</w:t>
      </w:r>
      <w:r w:rsidRPr="0092752C">
        <w:rPr>
          <w:b/>
        </w:rPr>
        <w:tab/>
      </w:r>
      <w:r>
        <w:rPr>
          <w:b/>
        </w:rPr>
        <w:t>Why do you recommend that the Company recover those carrying costs?</w:t>
      </w:r>
    </w:p>
    <w:p w14:paraId="2ED3D7DA" w14:textId="546B45CD" w:rsidR="00CB3D1A" w:rsidRDefault="00CB3D1A" w:rsidP="00CB3D1A">
      <w:pPr>
        <w:pStyle w:val="A"/>
        <w:spacing w:line="480" w:lineRule="auto"/>
        <w:rPr>
          <w:szCs w:val="24"/>
        </w:rPr>
      </w:pPr>
      <w:r w:rsidRPr="006A5F0F">
        <w:rPr>
          <w:szCs w:val="24"/>
        </w:rPr>
        <w:t>A.</w:t>
      </w:r>
      <w:r w:rsidRPr="006A5F0F">
        <w:rPr>
          <w:szCs w:val="24"/>
        </w:rPr>
        <w:tab/>
      </w:r>
      <w:r>
        <w:rPr>
          <w:szCs w:val="24"/>
        </w:rPr>
        <w:t xml:space="preserve">I recommend that the Commission allow CEHE to recover those carrying costs because </w:t>
      </w:r>
      <w:r w:rsidRPr="00DB149E">
        <w:rPr>
          <w:szCs w:val="24"/>
        </w:rPr>
        <w:t>PURA § 36.402</w:t>
      </w:r>
      <w:r w:rsidR="00982445">
        <w:rPr>
          <w:szCs w:val="24"/>
        </w:rPr>
        <w:t xml:space="preserve"> expressly provides for such recovery</w:t>
      </w:r>
      <w:r>
        <w:rPr>
          <w:szCs w:val="24"/>
        </w:rPr>
        <w:t xml:space="preserve">.  I also believe it is important to assure utilities that the Commission will allow them to recover prudently incurred costs, including carrying costs, associated with hurricane restoration.  </w:t>
      </w:r>
    </w:p>
    <w:p w14:paraId="1EE92E5A" w14:textId="77777777" w:rsidR="005624EA" w:rsidRPr="00991DD2" w:rsidRDefault="005624EA" w:rsidP="005854E5">
      <w:pPr>
        <w:pStyle w:val="ListParagraph"/>
        <w:spacing w:line="480" w:lineRule="auto"/>
        <w:ind w:left="0"/>
        <w:jc w:val="both"/>
        <w:rPr>
          <w:rFonts w:ascii="Times" w:hAnsi="Times"/>
          <w:b/>
          <w:szCs w:val="20"/>
        </w:rPr>
      </w:pPr>
      <w:r w:rsidRPr="00991DD2">
        <w:rPr>
          <w:rFonts w:ascii="Times" w:hAnsi="Times"/>
          <w:b/>
          <w:szCs w:val="20"/>
        </w:rPr>
        <w:t>Q.</w:t>
      </w:r>
      <w:r w:rsidRPr="00991DD2">
        <w:rPr>
          <w:rFonts w:ascii="Times" w:hAnsi="Times"/>
          <w:b/>
          <w:szCs w:val="20"/>
        </w:rPr>
        <w:tab/>
        <w:t>Does this conclude your testimony?</w:t>
      </w:r>
    </w:p>
    <w:p w14:paraId="6E2C18D2" w14:textId="2AC3A204" w:rsidR="00DC01DD" w:rsidRPr="00171B90" w:rsidRDefault="005624EA" w:rsidP="00171B90">
      <w:pPr>
        <w:pStyle w:val="ListParagraph"/>
        <w:spacing w:line="480" w:lineRule="auto"/>
        <w:ind w:left="0"/>
        <w:jc w:val="both"/>
        <w:rPr>
          <w:rFonts w:ascii="Times" w:hAnsi="Times"/>
          <w:szCs w:val="20"/>
        </w:rPr>
      </w:pPr>
      <w:r w:rsidRPr="00991DD2">
        <w:rPr>
          <w:rFonts w:ascii="Times" w:hAnsi="Times"/>
          <w:szCs w:val="20"/>
        </w:rPr>
        <w:t>A.</w:t>
      </w:r>
      <w:r w:rsidRPr="00991DD2">
        <w:rPr>
          <w:rFonts w:ascii="Times" w:hAnsi="Times"/>
          <w:szCs w:val="20"/>
        </w:rPr>
        <w:tab/>
        <w:t>Yes.</w:t>
      </w:r>
    </w:p>
    <w:sectPr w:rsidR="00DC01DD" w:rsidRPr="00171B90" w:rsidSect="0046733A">
      <w:headerReference w:type="even" r:id="rId11"/>
      <w:headerReference w:type="default" r:id="rId12"/>
      <w:footerReference w:type="even" r:id="rId13"/>
      <w:footerReference w:type="default" r:id="rId14"/>
      <w:headerReference w:type="first" r:id="rId15"/>
      <w:footerReference w:type="first" r:id="rId16"/>
      <w:pgSz w:w="12240" w:h="15840" w:code="1"/>
      <w:pgMar w:top="720" w:right="1440" w:bottom="1440" w:left="1440" w:header="720" w:footer="720" w:gutter="0"/>
      <w:lnNumType w:countBy="1"/>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24DDF" w14:textId="77777777" w:rsidR="00BF3BE2" w:rsidRDefault="00BF3BE2">
      <w:r>
        <w:separator/>
      </w:r>
    </w:p>
  </w:endnote>
  <w:endnote w:type="continuationSeparator" w:id="0">
    <w:p w14:paraId="2810B352" w14:textId="77777777" w:rsidR="00BF3BE2" w:rsidRDefault="00BF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22CDA" w14:textId="77777777" w:rsidR="00BF3BE2" w:rsidRDefault="00BF3B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AEF27" w14:textId="77777777" w:rsidR="00BF3BE2" w:rsidRDefault="00BF3BE2" w:rsidP="0046733A"/>
  <w:p w14:paraId="504588E7" w14:textId="3BB235CE" w:rsidR="00BF3BE2" w:rsidRPr="006F1AED" w:rsidRDefault="00BF3BE2" w:rsidP="0046733A">
    <w:pPr>
      <w:pBdr>
        <w:top w:val="single" w:sz="24" w:space="1" w:color="auto"/>
      </w:pBdr>
      <w:spacing w:line="240" w:lineRule="exact"/>
      <w:jc w:val="right"/>
    </w:pPr>
    <w:r w:rsidRPr="006F1AED">
      <w:t xml:space="preserve">DIRECT TESTIMONY OF </w:t>
    </w:r>
    <w:r>
      <w:t>JORGE ORDONEZ</w:t>
    </w:r>
  </w:p>
  <w:p w14:paraId="59F59120" w14:textId="77777777" w:rsidR="00BF3BE2" w:rsidRDefault="00BF3BE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3FA87" w14:textId="77777777" w:rsidR="00BF3BE2" w:rsidRDefault="00BF3B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43C4E" w14:textId="77777777" w:rsidR="00BF3BE2" w:rsidRDefault="00BF3BE2">
      <w:r>
        <w:separator/>
      </w:r>
    </w:p>
  </w:footnote>
  <w:footnote w:type="continuationSeparator" w:id="0">
    <w:p w14:paraId="0CC67B16" w14:textId="77777777" w:rsidR="00BF3BE2" w:rsidRDefault="00BF3BE2">
      <w:r>
        <w:continuationSeparator/>
      </w:r>
    </w:p>
  </w:footnote>
  <w:footnote w:id="1">
    <w:p w14:paraId="20482605" w14:textId="77777777" w:rsidR="00BF3BE2" w:rsidRDefault="00BF3BE2" w:rsidP="001054F3">
      <w:pPr>
        <w:pStyle w:val="FootnoteText"/>
        <w:spacing w:after="120"/>
        <w:ind w:firstLine="720"/>
      </w:pPr>
      <w:r w:rsidRPr="00904A11">
        <w:rPr>
          <w:rStyle w:val="FootnoteReference"/>
        </w:rPr>
        <w:footnoteRef/>
      </w:r>
      <w:r w:rsidRPr="00904A11">
        <w:t xml:space="preserve"> Public Utility Regulatory Act, Tex. Util. Code Ann. §§ 11.001-58.302 (West 2016 &amp; Supp. 2017), §§ 59.001-66.016 (West 2007 &amp; Supp. 2017) (PURA).</w:t>
      </w:r>
    </w:p>
  </w:footnote>
  <w:footnote w:id="2">
    <w:p w14:paraId="0979C2F4" w14:textId="74566F76" w:rsidR="00BF3BE2" w:rsidRDefault="00BF3BE2" w:rsidP="00560DEB">
      <w:pPr>
        <w:pStyle w:val="FootnoteText"/>
        <w:ind w:firstLine="720"/>
      </w:pPr>
      <w:r>
        <w:rPr>
          <w:rStyle w:val="FootnoteReference"/>
        </w:rPr>
        <w:footnoteRef/>
      </w:r>
      <w:r>
        <w:t xml:space="preserve"> Preliminary Order at 3, 10 (May 8, 2019). </w:t>
      </w:r>
    </w:p>
  </w:footnote>
  <w:footnote w:id="3">
    <w:p w14:paraId="3774E9F0" w14:textId="50C21FB2" w:rsidR="00BF3BE2" w:rsidRDefault="00BF3BE2" w:rsidP="0025217B">
      <w:pPr>
        <w:pStyle w:val="FootnoteText"/>
        <w:spacing w:after="120"/>
        <w:ind w:firstLine="720"/>
      </w:pPr>
      <w:r>
        <w:rPr>
          <w:rStyle w:val="FootnoteReference"/>
        </w:rPr>
        <w:footnoteRef/>
      </w:r>
      <w:r>
        <w:t xml:space="preserve"> </w:t>
      </w:r>
      <w:r w:rsidRPr="00533D7D">
        <w:rPr>
          <w:i/>
        </w:rPr>
        <w:t xml:space="preserve">Bluefield Water Works &amp; </w:t>
      </w:r>
      <w:proofErr w:type="spellStart"/>
      <w:r w:rsidRPr="00533D7D">
        <w:rPr>
          <w:i/>
        </w:rPr>
        <w:t>Im</w:t>
      </w:r>
      <w:r>
        <w:rPr>
          <w:i/>
        </w:rPr>
        <w:t>rovement</w:t>
      </w:r>
      <w:proofErr w:type="spellEnd"/>
      <w:r>
        <w:rPr>
          <w:i/>
        </w:rPr>
        <w:t>.</w:t>
      </w:r>
      <w:r w:rsidRPr="00533D7D">
        <w:rPr>
          <w:i/>
        </w:rPr>
        <w:t xml:space="preserve"> Co. v. Pub</w:t>
      </w:r>
      <w:r>
        <w:rPr>
          <w:i/>
        </w:rPr>
        <w:t>.</w:t>
      </w:r>
      <w:r w:rsidRPr="00533D7D">
        <w:rPr>
          <w:i/>
        </w:rPr>
        <w:t xml:space="preserve"> Serv</w:t>
      </w:r>
      <w:r>
        <w:rPr>
          <w:i/>
        </w:rPr>
        <w:t>.</w:t>
      </w:r>
      <w:r w:rsidRPr="00533D7D">
        <w:rPr>
          <w:i/>
        </w:rPr>
        <w:t xml:space="preserve"> </w:t>
      </w:r>
      <w:proofErr w:type="spellStart"/>
      <w:r w:rsidRPr="00533D7D">
        <w:rPr>
          <w:i/>
        </w:rPr>
        <w:t>Comm</w:t>
      </w:r>
      <w:r>
        <w:rPr>
          <w:i/>
        </w:rPr>
        <w:t>’</w:t>
      </w:r>
      <w:r w:rsidRPr="00533D7D">
        <w:rPr>
          <w:i/>
        </w:rPr>
        <w:t>n</w:t>
      </w:r>
      <w:proofErr w:type="spellEnd"/>
      <w:r w:rsidRPr="00533D7D">
        <w:rPr>
          <w:i/>
        </w:rPr>
        <w:t xml:space="preserve"> of W</w:t>
      </w:r>
      <w:r>
        <w:rPr>
          <w:i/>
        </w:rPr>
        <w:t>.</w:t>
      </w:r>
      <w:r w:rsidRPr="00533D7D">
        <w:rPr>
          <w:i/>
        </w:rPr>
        <w:t xml:space="preserve"> Va</w:t>
      </w:r>
      <w:r>
        <w:rPr>
          <w:i/>
        </w:rPr>
        <w:t>.,</w:t>
      </w:r>
      <w:r w:rsidRPr="00533D7D">
        <w:rPr>
          <w:i/>
        </w:rPr>
        <w:t xml:space="preserve"> </w:t>
      </w:r>
      <w:r w:rsidRPr="00983D63">
        <w:t>262 U.S. 679, 683 (1923).</w:t>
      </w:r>
    </w:p>
  </w:footnote>
  <w:footnote w:id="4">
    <w:p w14:paraId="1FA09697" w14:textId="77777777" w:rsidR="00BF3BE2" w:rsidRDefault="00BF3BE2" w:rsidP="0025217B">
      <w:pPr>
        <w:pStyle w:val="FootnoteText"/>
        <w:spacing w:after="120"/>
        <w:ind w:firstLine="720"/>
      </w:pPr>
      <w:r>
        <w:rPr>
          <w:rStyle w:val="FootnoteReference"/>
        </w:rPr>
        <w:footnoteRef/>
      </w:r>
      <w:r>
        <w:t xml:space="preserve"> </w:t>
      </w:r>
      <w:r w:rsidRPr="006F4F12">
        <w:rPr>
          <w:i/>
          <w:szCs w:val="24"/>
        </w:rPr>
        <w:t xml:space="preserve">Fed. Power </w:t>
      </w:r>
      <w:proofErr w:type="spellStart"/>
      <w:r w:rsidRPr="006F4F12">
        <w:rPr>
          <w:i/>
          <w:szCs w:val="24"/>
        </w:rPr>
        <w:t>Comm’n</w:t>
      </w:r>
      <w:proofErr w:type="spellEnd"/>
      <w:r w:rsidRPr="006F4F12">
        <w:rPr>
          <w:i/>
          <w:szCs w:val="24"/>
        </w:rPr>
        <w:t xml:space="preserve"> v. Hope Nat. Gas Co.</w:t>
      </w:r>
      <w:r w:rsidRPr="006F4F12">
        <w:rPr>
          <w:szCs w:val="24"/>
        </w:rPr>
        <w:t xml:space="preserve">, 320 U.S. </w:t>
      </w:r>
      <w:r>
        <w:rPr>
          <w:szCs w:val="24"/>
        </w:rPr>
        <w:t xml:space="preserve">591, </w:t>
      </w:r>
      <w:r w:rsidRPr="001C5B72">
        <w:rPr>
          <w:szCs w:val="24"/>
        </w:rPr>
        <w:t>604</w:t>
      </w:r>
      <w:r w:rsidRPr="006F4F12">
        <w:rPr>
          <w:szCs w:val="24"/>
        </w:rPr>
        <w:t xml:space="preserve"> (1944)</w:t>
      </w:r>
      <w:r>
        <w:rPr>
          <w:szCs w:val="24"/>
        </w:rPr>
        <w:t>.</w:t>
      </w:r>
    </w:p>
  </w:footnote>
  <w:footnote w:id="5">
    <w:p w14:paraId="2DADC234" w14:textId="77777777" w:rsidR="00BF3BE2" w:rsidRPr="00095A44" w:rsidRDefault="00BF3BE2" w:rsidP="001A5328">
      <w:pPr>
        <w:pStyle w:val="FootnoteText"/>
        <w:spacing w:after="120"/>
        <w:ind w:firstLine="720"/>
        <w:jc w:val="both"/>
      </w:pPr>
      <w:r>
        <w:rPr>
          <w:rStyle w:val="FootnoteReference"/>
        </w:rPr>
        <w:footnoteRef/>
      </w:r>
      <w:r>
        <w:t xml:space="preserve"> </w:t>
      </w:r>
      <w:r w:rsidRPr="007E3098">
        <w:t xml:space="preserve">Direct Testimony of </w:t>
      </w:r>
      <w:r>
        <w:t>Robert B. McRae at 37; and Application, Schedule II-C-2.4a at 1.</w:t>
      </w:r>
    </w:p>
  </w:footnote>
  <w:footnote w:id="6">
    <w:p w14:paraId="0FF32319" w14:textId="77777777" w:rsidR="00BF3BE2" w:rsidRPr="009316C3" w:rsidRDefault="00BF3BE2" w:rsidP="00B617BF">
      <w:pPr>
        <w:pStyle w:val="FootnoteText"/>
        <w:spacing w:after="120"/>
        <w:ind w:firstLine="720"/>
        <w:jc w:val="both"/>
        <w:rPr>
          <w:i/>
        </w:rPr>
      </w:pPr>
      <w:r w:rsidRPr="009E28F6">
        <w:rPr>
          <w:rStyle w:val="FootnoteReference"/>
        </w:rPr>
        <w:footnoteRef/>
      </w:r>
      <w:r w:rsidRPr="009E28F6">
        <w:t xml:space="preserve"> </w:t>
      </w:r>
      <w:r w:rsidRPr="009E28F6">
        <w:rPr>
          <w:i/>
        </w:rPr>
        <w:t>Generic Issues Associated with Applications for Approval of Unbundle</w:t>
      </w:r>
      <w:r>
        <w:rPr>
          <w:i/>
        </w:rPr>
        <w:t>d</w:t>
      </w:r>
      <w:r w:rsidRPr="009E28F6">
        <w:rPr>
          <w:i/>
        </w:rPr>
        <w:t xml:space="preserve"> Cost of Service Rate Pursuant to PURA </w:t>
      </w:r>
      <w:r>
        <w:rPr>
          <w:i/>
        </w:rPr>
        <w:t xml:space="preserve">§ </w:t>
      </w:r>
      <w:r w:rsidRPr="009E28F6">
        <w:rPr>
          <w:i/>
        </w:rPr>
        <w:t xml:space="preserve">39.201 and Public Utility Commission Substantive Rule </w:t>
      </w:r>
      <w:r>
        <w:rPr>
          <w:i/>
        </w:rPr>
        <w:t xml:space="preserve">§ </w:t>
      </w:r>
      <w:r w:rsidRPr="009E28F6">
        <w:rPr>
          <w:i/>
        </w:rPr>
        <w:t>25.344</w:t>
      </w:r>
      <w:r w:rsidRPr="009E28F6">
        <w:t xml:space="preserve">, </w:t>
      </w:r>
      <w:r>
        <w:t xml:space="preserve">Order No. 42, </w:t>
      </w:r>
      <w:r w:rsidRPr="009E28F6">
        <w:t xml:space="preserve">Docket </w:t>
      </w:r>
      <w:r>
        <w:t xml:space="preserve">No. </w:t>
      </w:r>
      <w:r w:rsidRPr="009E28F6">
        <w:t>22344</w:t>
      </w:r>
      <w:r>
        <w:t xml:space="preserve"> (Dec. 22, 2000).</w:t>
      </w:r>
    </w:p>
  </w:footnote>
  <w:footnote w:id="7">
    <w:p w14:paraId="49CBD90E" w14:textId="1988ED7C" w:rsidR="00BF3BE2" w:rsidRPr="0075732A" w:rsidRDefault="00BF3BE2" w:rsidP="00EE64A2">
      <w:pPr>
        <w:pStyle w:val="FootnoteText"/>
        <w:spacing w:after="120"/>
        <w:ind w:firstLine="720"/>
        <w:rPr>
          <w:i/>
        </w:rPr>
      </w:pPr>
      <w:r>
        <w:rPr>
          <w:rStyle w:val="FootnoteReference"/>
        </w:rPr>
        <w:footnoteRef/>
      </w:r>
      <w:r>
        <w:t xml:space="preserve"> </w:t>
      </w:r>
      <w:r w:rsidRPr="002D7413">
        <w:rPr>
          <w:rStyle w:val="Hyperlink"/>
          <w:color w:val="auto"/>
          <w:u w:val="none"/>
        </w:rPr>
        <w:t xml:space="preserve">CenterPoint Energy, Inc., SEC Form 10-K for the fiscal year ended </w:t>
      </w:r>
      <w:r>
        <w:rPr>
          <w:rStyle w:val="Hyperlink"/>
          <w:color w:val="auto"/>
          <w:u w:val="none"/>
        </w:rPr>
        <w:t xml:space="preserve">on </w:t>
      </w:r>
      <w:r w:rsidRPr="002D7413">
        <w:rPr>
          <w:rStyle w:val="Hyperlink"/>
          <w:color w:val="auto"/>
          <w:u w:val="none"/>
        </w:rPr>
        <w:t>December 31, 20</w:t>
      </w:r>
      <w:r>
        <w:rPr>
          <w:rStyle w:val="Hyperlink"/>
          <w:color w:val="auto"/>
          <w:u w:val="none"/>
        </w:rPr>
        <w:t>18</w:t>
      </w:r>
      <w:r w:rsidRPr="002D7413">
        <w:rPr>
          <w:rStyle w:val="Hyperlink"/>
          <w:color w:val="auto"/>
          <w:u w:val="none"/>
        </w:rPr>
        <w:t xml:space="preserve">, </w:t>
      </w:r>
      <w:r>
        <w:rPr>
          <w:rStyle w:val="Hyperlink"/>
          <w:color w:val="auto"/>
          <w:u w:val="none"/>
        </w:rPr>
        <w:t>at</w:t>
      </w:r>
      <w:r w:rsidRPr="002D7413">
        <w:rPr>
          <w:rStyle w:val="Hyperlink"/>
          <w:color w:val="auto"/>
          <w:u w:val="none"/>
        </w:rPr>
        <w:t xml:space="preserve"> 1</w:t>
      </w:r>
      <w:r>
        <w:rPr>
          <w:rStyle w:val="Hyperlink"/>
          <w:color w:val="auto"/>
          <w:u w:val="none"/>
        </w:rPr>
        <w:t>, 4</w:t>
      </w:r>
      <w:r>
        <w:rPr>
          <w:i/>
        </w:rPr>
        <w:t>.</w:t>
      </w:r>
    </w:p>
  </w:footnote>
  <w:footnote w:id="8">
    <w:p w14:paraId="50FDF445" w14:textId="7A0B8EB5" w:rsidR="00BF3BE2" w:rsidRPr="00095A44" w:rsidRDefault="00BF3BE2" w:rsidP="008A7F71">
      <w:pPr>
        <w:pStyle w:val="FootnoteText"/>
        <w:spacing w:after="120"/>
        <w:ind w:firstLine="720"/>
        <w:jc w:val="both"/>
      </w:pPr>
      <w:r>
        <w:rPr>
          <w:rStyle w:val="FootnoteReference"/>
        </w:rPr>
        <w:footnoteRef/>
      </w:r>
      <w:r>
        <w:t xml:space="preserve"> </w:t>
      </w:r>
      <w:r w:rsidRPr="0095064B">
        <w:t xml:space="preserve">Direct Testimony of Robert B. McRae at </w:t>
      </w:r>
      <w:r>
        <w:t>11</w:t>
      </w:r>
      <w:r w:rsidRPr="0095064B">
        <w:t>.</w:t>
      </w:r>
    </w:p>
  </w:footnote>
  <w:footnote w:id="9">
    <w:p w14:paraId="201D29F1" w14:textId="494ADAD5" w:rsidR="00BF3BE2" w:rsidRPr="005C0465" w:rsidRDefault="00BF3BE2" w:rsidP="0031468C">
      <w:pPr>
        <w:pStyle w:val="FootnoteText"/>
        <w:ind w:firstLine="720"/>
        <w:jc w:val="both"/>
      </w:pPr>
      <w:r>
        <w:rPr>
          <w:rStyle w:val="FootnoteReference"/>
        </w:rPr>
        <w:footnoteRef/>
      </w:r>
      <w:r>
        <w:t xml:space="preserve"> S&amp;P and Fitch provide increasing risk and declining credit ratings for investment quality bonds ranging from </w:t>
      </w:r>
      <w:r>
        <w:rPr>
          <w:b/>
        </w:rPr>
        <w:t>AAA</w:t>
      </w:r>
      <w:r>
        <w:t xml:space="preserve"> to </w:t>
      </w:r>
      <w:r>
        <w:rPr>
          <w:b/>
        </w:rPr>
        <w:t>AA</w:t>
      </w:r>
      <w:r>
        <w:t xml:space="preserve"> to </w:t>
      </w:r>
      <w:r>
        <w:rPr>
          <w:b/>
        </w:rPr>
        <w:t>A</w:t>
      </w:r>
      <w:r>
        <w:t xml:space="preserve"> to </w:t>
      </w:r>
      <w:r>
        <w:rPr>
          <w:b/>
        </w:rPr>
        <w:t>BBB</w:t>
      </w:r>
      <w:r>
        <w:t xml:space="preserve"> (with “+” and “-” as sub-ratings or notches within these rating classes for relatively lower or higher risk, respectively).  Moody’s provides comparable increasing risk and declining credit quality ratings of </w:t>
      </w:r>
      <w:proofErr w:type="spellStart"/>
      <w:r>
        <w:rPr>
          <w:b/>
        </w:rPr>
        <w:t>Aaa</w:t>
      </w:r>
      <w:proofErr w:type="spellEnd"/>
      <w:r>
        <w:t xml:space="preserve"> to </w:t>
      </w:r>
      <w:r>
        <w:rPr>
          <w:b/>
        </w:rPr>
        <w:t>Aa</w:t>
      </w:r>
      <w:r>
        <w:t xml:space="preserve"> to </w:t>
      </w:r>
      <w:r>
        <w:rPr>
          <w:b/>
        </w:rPr>
        <w:t>A</w:t>
      </w:r>
      <w:r>
        <w:t xml:space="preserve"> to </w:t>
      </w:r>
      <w:r>
        <w:rPr>
          <w:b/>
        </w:rPr>
        <w:t>Baa</w:t>
      </w:r>
      <w:r>
        <w:t xml:space="preserve"> (with 1, 2, and 3 as sub-ratings or notches within these rating classes for relatively lower to higher risk, respectively).  </w:t>
      </w:r>
      <w:r w:rsidRPr="00671F38">
        <w:t xml:space="preserve">Bonds rated </w:t>
      </w:r>
      <w:r w:rsidRPr="00671F38">
        <w:rPr>
          <w:b/>
        </w:rPr>
        <w:t>BB/Ba</w:t>
      </w:r>
      <w:r w:rsidRPr="00671F38">
        <w:t xml:space="preserve"> (S&amp;P/Moody’s) (“double B”) or lower are often called junk bonds.  Bonds rated </w:t>
      </w:r>
      <w:r w:rsidRPr="00671F38">
        <w:rPr>
          <w:b/>
        </w:rPr>
        <w:t>B/B</w:t>
      </w:r>
      <w:r w:rsidRPr="00671F38">
        <w:t xml:space="preserve">, </w:t>
      </w:r>
      <w:r w:rsidRPr="00671F38">
        <w:rPr>
          <w:b/>
        </w:rPr>
        <w:t>CCC/</w:t>
      </w:r>
      <w:proofErr w:type="spellStart"/>
      <w:r w:rsidRPr="00671F38">
        <w:rPr>
          <w:b/>
        </w:rPr>
        <w:t>Caa</w:t>
      </w:r>
      <w:proofErr w:type="spellEnd"/>
      <w:r w:rsidRPr="00671F38">
        <w:t xml:space="preserve">, </w:t>
      </w:r>
      <w:r w:rsidRPr="00671F38">
        <w:rPr>
          <w:b/>
        </w:rPr>
        <w:t>CC/Ca</w:t>
      </w:r>
      <w:r w:rsidRPr="00671F38">
        <w:t xml:space="preserve">, and </w:t>
      </w:r>
      <w:r w:rsidRPr="00671F38">
        <w:rPr>
          <w:b/>
        </w:rPr>
        <w:t>C/C</w:t>
      </w:r>
      <w:r w:rsidRPr="00671F38">
        <w:t xml:space="preserve"> are considered speculative; bond ratings below these speculative grades reflect insolvency.</w:t>
      </w:r>
    </w:p>
  </w:footnote>
  <w:footnote w:id="10">
    <w:p w14:paraId="54078AF6" w14:textId="30667E6D" w:rsidR="00BF3BE2" w:rsidRDefault="00BF3BE2" w:rsidP="00287BAA">
      <w:pPr>
        <w:pStyle w:val="FootnoteText"/>
        <w:spacing w:after="120"/>
        <w:ind w:firstLine="720"/>
      </w:pPr>
      <w:r>
        <w:rPr>
          <w:rStyle w:val="FootnoteReference"/>
        </w:rPr>
        <w:footnoteRef/>
      </w:r>
      <w:r>
        <w:t xml:space="preserve"> </w:t>
      </w:r>
      <w:r w:rsidRPr="00533D7D">
        <w:rPr>
          <w:i/>
        </w:rPr>
        <w:t>Bluefield</w:t>
      </w:r>
      <w:r>
        <w:rPr>
          <w:i/>
        </w:rPr>
        <w:t>,</w:t>
      </w:r>
      <w:r w:rsidRPr="00533D7D">
        <w:rPr>
          <w:i/>
        </w:rPr>
        <w:t xml:space="preserve"> </w:t>
      </w:r>
      <w:r w:rsidRPr="00983D63">
        <w:t xml:space="preserve">262 U.S. </w:t>
      </w:r>
      <w:r>
        <w:t>at</w:t>
      </w:r>
      <w:r w:rsidRPr="00983D63">
        <w:t xml:space="preserve"> 683 (1923).</w:t>
      </w:r>
    </w:p>
  </w:footnote>
  <w:footnote w:id="11">
    <w:p w14:paraId="5E07348E" w14:textId="76E01EFA" w:rsidR="00BF3BE2" w:rsidRDefault="00BF3BE2" w:rsidP="001C5B72">
      <w:pPr>
        <w:pStyle w:val="FootnoteText"/>
        <w:spacing w:after="120"/>
        <w:ind w:firstLine="720"/>
      </w:pPr>
      <w:r>
        <w:rPr>
          <w:rStyle w:val="FootnoteReference"/>
        </w:rPr>
        <w:footnoteRef/>
      </w:r>
      <w:r>
        <w:t xml:space="preserve"> </w:t>
      </w:r>
      <w:r>
        <w:rPr>
          <w:i/>
          <w:szCs w:val="24"/>
        </w:rPr>
        <w:t>Hope</w:t>
      </w:r>
      <w:r w:rsidRPr="006F4F12">
        <w:rPr>
          <w:szCs w:val="24"/>
        </w:rPr>
        <w:t xml:space="preserve">, 320 U.S. </w:t>
      </w:r>
      <w:r>
        <w:rPr>
          <w:szCs w:val="24"/>
        </w:rPr>
        <w:t xml:space="preserve">at </w:t>
      </w:r>
      <w:r w:rsidRPr="001C5B72">
        <w:rPr>
          <w:szCs w:val="24"/>
        </w:rPr>
        <w:t>604</w:t>
      </w:r>
      <w:r w:rsidRPr="006F4F12">
        <w:rPr>
          <w:szCs w:val="24"/>
        </w:rPr>
        <w:t xml:space="preserve"> (1944)</w:t>
      </w:r>
      <w:r>
        <w:rPr>
          <w:szCs w:val="24"/>
        </w:rPr>
        <w:t>.</w:t>
      </w:r>
    </w:p>
  </w:footnote>
  <w:footnote w:id="12">
    <w:p w14:paraId="0BC2E412" w14:textId="0306C8BA" w:rsidR="00BF3BE2" w:rsidRDefault="00BF3BE2" w:rsidP="00560DEB">
      <w:pPr>
        <w:ind w:firstLine="720"/>
        <w:jc w:val="both"/>
      </w:pPr>
      <w:r>
        <w:rPr>
          <w:rStyle w:val="FootnoteReference"/>
        </w:rPr>
        <w:footnoteRef/>
      </w:r>
      <w:r>
        <w:t xml:space="preserve"> </w:t>
      </w:r>
      <w:r w:rsidRPr="00AD430A">
        <w:rPr>
          <w:i/>
        </w:rPr>
        <w:t>Entergy Texas, Inc.'s Statement of Intent and Application for Authority to Change Rates</w:t>
      </w:r>
      <w:r>
        <w:rPr>
          <w:i/>
        </w:rPr>
        <w:t xml:space="preserve">, </w:t>
      </w:r>
      <w:r>
        <w:t xml:space="preserve">Docket No. 48371, Pre-filed Direct Testimony of Mark </w:t>
      </w:r>
      <w:proofErr w:type="spellStart"/>
      <w:r>
        <w:t>Filarowicz</w:t>
      </w:r>
      <w:proofErr w:type="spellEnd"/>
      <w:r>
        <w:t xml:space="preserve"> at 18 (Aug. 8, 2018); </w:t>
      </w:r>
      <w:r w:rsidRPr="00071FB9">
        <w:rPr>
          <w:i/>
        </w:rPr>
        <w:t>Application of Texas-New Mexico Power Company to Change Rates</w:t>
      </w:r>
      <w:r>
        <w:t>, Docket No. 48401, Pre-filed Direct Testimony of Nancy Palma at 22 and 23 (Aug. 20, 2018).</w:t>
      </w:r>
    </w:p>
  </w:footnote>
  <w:footnote w:id="13">
    <w:p w14:paraId="3AEBBC6F" w14:textId="13B94C10" w:rsidR="00BF3BE2" w:rsidRPr="00291930" w:rsidRDefault="00BF3BE2" w:rsidP="00241D21">
      <w:pPr>
        <w:pStyle w:val="FootnoteText"/>
        <w:spacing w:after="120"/>
        <w:ind w:firstLine="720"/>
        <w:jc w:val="both"/>
      </w:pPr>
      <w:r w:rsidRPr="000768F3">
        <w:rPr>
          <w:rStyle w:val="FootnoteReference"/>
        </w:rPr>
        <w:footnoteRef/>
      </w:r>
      <w:r w:rsidRPr="000768F3">
        <w:t xml:space="preserve"> </w:t>
      </w:r>
      <w:r w:rsidRPr="00560DEB">
        <w:rPr>
          <w:smallCaps/>
        </w:rPr>
        <w:t>Value Line</w:t>
      </w:r>
      <w:r>
        <w:t xml:space="preserve">, </w:t>
      </w:r>
      <w:r w:rsidRPr="00560DEB">
        <w:rPr>
          <w:smallCaps/>
        </w:rPr>
        <w:t>About Value Line</w:t>
      </w:r>
      <w:r>
        <w:t xml:space="preserve"> (2019), http://www.valueline.com/about.</w:t>
      </w:r>
    </w:p>
  </w:footnote>
  <w:footnote w:id="14">
    <w:p w14:paraId="624B3FB3" w14:textId="2E74C06E" w:rsidR="00BF3BE2" w:rsidRPr="00560DEB" w:rsidRDefault="00BF3BE2" w:rsidP="00560DEB">
      <w:pPr>
        <w:pStyle w:val="FootnoteText"/>
        <w:widowControl w:val="0"/>
        <w:spacing w:after="120"/>
        <w:ind w:firstLine="720"/>
      </w:pPr>
      <w:r>
        <w:rPr>
          <w:rStyle w:val="FootnoteReference"/>
        </w:rPr>
        <w:footnoteRef/>
      </w:r>
      <w:r>
        <w:rPr>
          <w:i/>
        </w:rPr>
        <w:t xml:space="preserve"> </w:t>
      </w:r>
      <w:r w:rsidRPr="00560DEB">
        <w:rPr>
          <w:i/>
        </w:rPr>
        <w:t xml:space="preserve">The </w:t>
      </w:r>
      <w:proofErr w:type="spellStart"/>
      <w:r w:rsidRPr="00560DEB">
        <w:rPr>
          <w:i/>
        </w:rPr>
        <w:t>Zacks</w:t>
      </w:r>
      <w:proofErr w:type="spellEnd"/>
      <w:r w:rsidRPr="00560DEB">
        <w:rPr>
          <w:i/>
        </w:rPr>
        <w:t xml:space="preserve"> Rank Guide</w:t>
      </w:r>
      <w:r w:rsidRPr="00560DEB">
        <w:t>,</w:t>
      </w:r>
      <w:r w:rsidRPr="00560DEB">
        <w:rPr>
          <w:smallCaps/>
        </w:rPr>
        <w:t xml:space="preserve"> </w:t>
      </w:r>
      <w:proofErr w:type="spellStart"/>
      <w:r w:rsidRPr="00560DEB">
        <w:rPr>
          <w:smallCaps/>
        </w:rPr>
        <w:t>Zacks</w:t>
      </w:r>
      <w:proofErr w:type="spellEnd"/>
      <w:r w:rsidRPr="00560DEB">
        <w:t xml:space="preserve"> </w:t>
      </w:r>
      <w:r w:rsidRPr="00362FE8">
        <w:t xml:space="preserve">(2019), </w:t>
      </w:r>
      <w:r w:rsidRPr="00560DEB">
        <w:t>https://www.zacks.com/education/stock-education</w:t>
      </w:r>
      <w:r>
        <w:t xml:space="preserve">. </w:t>
      </w:r>
    </w:p>
  </w:footnote>
  <w:footnote w:id="15">
    <w:p w14:paraId="00A8C279" w14:textId="39DF3687" w:rsidR="00BF3BE2" w:rsidRPr="000768F3" w:rsidRDefault="00BF3BE2" w:rsidP="00241D21">
      <w:pPr>
        <w:pStyle w:val="FootnoteText"/>
        <w:spacing w:after="120"/>
        <w:ind w:firstLine="720"/>
        <w:jc w:val="both"/>
      </w:pPr>
      <w:r w:rsidRPr="000768F3">
        <w:rPr>
          <w:rStyle w:val="FootnoteReference"/>
        </w:rPr>
        <w:footnoteRef/>
      </w:r>
      <w:r w:rsidRPr="000768F3">
        <w:t xml:space="preserve"> </w:t>
      </w:r>
      <w:r w:rsidRPr="00A46E3C">
        <w:t>U.S. Bureau of Economic Analysis, Real Gross Domestic Product [GDPC1]</w:t>
      </w:r>
      <w:r w:rsidRPr="003468DE">
        <w:t xml:space="preserve">, </w:t>
      </w:r>
      <w:r w:rsidRPr="00560DEB">
        <w:rPr>
          <w:smallCaps/>
        </w:rPr>
        <w:t>Federal Reserve Bank of St. Louis</w:t>
      </w:r>
      <w:r>
        <w:t xml:space="preserve"> (FRED)</w:t>
      </w:r>
      <w:r w:rsidRPr="000768F3">
        <w:t xml:space="preserve">; </w:t>
      </w:r>
      <w:r w:rsidRPr="00560DEB">
        <w:t>https://fred.stlouisfed.org/series/GDPC1</w:t>
      </w:r>
      <w:r>
        <w:t xml:space="preserve"> (April 26</w:t>
      </w:r>
      <w:r w:rsidRPr="000768F3">
        <w:t>, 201</w:t>
      </w:r>
      <w:r>
        <w:t>9)</w:t>
      </w:r>
      <w:r w:rsidRPr="000768F3">
        <w:t>.</w:t>
      </w:r>
    </w:p>
  </w:footnote>
  <w:footnote w:id="16">
    <w:p w14:paraId="65394EC2" w14:textId="61143EC2" w:rsidR="00BF3BE2" w:rsidRPr="00A95E26" w:rsidRDefault="00BF3BE2" w:rsidP="00B70865">
      <w:pPr>
        <w:pStyle w:val="FootnoteText"/>
        <w:ind w:firstLine="720"/>
      </w:pPr>
      <w:r w:rsidRPr="000768F3">
        <w:rPr>
          <w:rStyle w:val="FootnoteReference"/>
        </w:rPr>
        <w:footnoteRef/>
      </w:r>
      <w:r w:rsidRPr="000768F3">
        <w:t xml:space="preserve"> </w:t>
      </w:r>
      <w:r w:rsidRPr="00560DEB">
        <w:rPr>
          <w:i/>
        </w:rPr>
        <w:t>Monetary Policy Report to the Congress</w:t>
      </w:r>
      <w:r>
        <w:t xml:space="preserve">, </w:t>
      </w:r>
      <w:r w:rsidRPr="00560DEB">
        <w:rPr>
          <w:smallCaps/>
        </w:rPr>
        <w:t>Board of Governors of the Federal Reserve System</w:t>
      </w:r>
      <w:r>
        <w:t xml:space="preserve"> (Feb. 22, 2019), https://www.federalreserve.gov/monetarypolicy/2019-02-mpr-summary.html.</w:t>
      </w:r>
    </w:p>
  </w:footnote>
  <w:footnote w:id="17">
    <w:p w14:paraId="45D7BF24" w14:textId="13320240" w:rsidR="00BF3BE2" w:rsidRPr="00291930" w:rsidRDefault="00BF3BE2" w:rsidP="00992F0A">
      <w:pPr>
        <w:pStyle w:val="FootnoteText"/>
        <w:spacing w:after="120"/>
        <w:ind w:firstLine="720"/>
        <w:jc w:val="both"/>
      </w:pPr>
      <w:r w:rsidRPr="000768F3">
        <w:rPr>
          <w:rStyle w:val="FootnoteReference"/>
        </w:rPr>
        <w:footnoteRef/>
      </w:r>
      <w:r w:rsidRPr="000768F3">
        <w:t xml:space="preserve"> </w:t>
      </w:r>
      <w:r w:rsidRPr="00560DEB">
        <w:rPr>
          <w:i/>
        </w:rPr>
        <w:t>The Budget and Economic Outlook: 2019 to 2029</w:t>
      </w:r>
      <w:r>
        <w:t xml:space="preserve">, </w:t>
      </w:r>
      <w:r w:rsidRPr="00560DEB">
        <w:rPr>
          <w:smallCaps/>
        </w:rPr>
        <w:t>Congressional Budget Office</w:t>
      </w:r>
      <w:r>
        <w:t>, (Jan. 28, 2019), https://</w:t>
      </w:r>
      <w:r w:rsidRPr="000F3954">
        <w:t>www.cbo.gov/publication/54918</w:t>
      </w:r>
      <w:r>
        <w:rPr>
          <w:i/>
        </w:rPr>
        <w:t>.</w:t>
      </w:r>
    </w:p>
  </w:footnote>
  <w:footnote w:id="18">
    <w:p w14:paraId="2A9DC01E" w14:textId="689C82CB" w:rsidR="00BF3BE2" w:rsidRDefault="00BF3BE2" w:rsidP="00560DEB">
      <w:pPr>
        <w:pStyle w:val="FootnoteText"/>
        <w:ind w:firstLine="720"/>
      </w:pPr>
      <w:r>
        <w:rPr>
          <w:rStyle w:val="FootnoteReference"/>
        </w:rPr>
        <w:footnoteRef/>
      </w:r>
      <w:r>
        <w:t xml:space="preserve"> </w:t>
      </w:r>
      <w:r w:rsidRPr="00C31677">
        <w:rPr>
          <w:i/>
        </w:rPr>
        <w:t>Monetary Policy Report to the Congress</w:t>
      </w:r>
      <w:r>
        <w:t xml:space="preserve">, </w:t>
      </w:r>
      <w:r w:rsidRPr="00C31677">
        <w:rPr>
          <w:smallCaps/>
        </w:rPr>
        <w:t>Board of Governors of the Federal Reserve System</w:t>
      </w:r>
      <w:r>
        <w:t xml:space="preserve"> (Feb. 22, 2019), https://www.federalreserve.gov/monetarypolicy/2019-02-mpr-summary.html.</w:t>
      </w:r>
    </w:p>
  </w:footnote>
  <w:footnote w:id="19">
    <w:p w14:paraId="3D8187FC" w14:textId="60B88D96" w:rsidR="00BF3BE2" w:rsidRPr="0072730C" w:rsidRDefault="00BF3BE2" w:rsidP="00960CA3">
      <w:pPr>
        <w:pStyle w:val="FootnoteText"/>
        <w:spacing w:after="120"/>
        <w:ind w:firstLine="720"/>
      </w:pPr>
      <w:r>
        <w:rPr>
          <w:rStyle w:val="FootnoteReference"/>
        </w:rPr>
        <w:footnoteRef/>
      </w:r>
      <w:r>
        <w:t xml:space="preserve"> </w:t>
      </w:r>
      <w:r>
        <w:rPr>
          <w:i/>
        </w:rPr>
        <w:t>Daily Treasury Long Term Rate Data,</w:t>
      </w:r>
      <w:r w:rsidRPr="00381AB8">
        <w:rPr>
          <w:rStyle w:val="Hyperlink"/>
          <w:color w:val="auto"/>
          <w:u w:val="none"/>
        </w:rPr>
        <w:t xml:space="preserve"> </w:t>
      </w:r>
      <w:r>
        <w:rPr>
          <w:rStyle w:val="Hyperlink"/>
          <w:smallCaps/>
          <w:color w:val="auto"/>
          <w:u w:val="none"/>
        </w:rPr>
        <w:t xml:space="preserve">USDT, </w:t>
      </w:r>
      <w:r w:rsidRPr="00560DEB">
        <w:rPr>
          <w:rStyle w:val="Hyperlink"/>
          <w:color w:val="auto"/>
          <w:u w:val="none"/>
        </w:rPr>
        <w:t>http</w:t>
      </w:r>
      <w:r w:rsidRPr="00AB0455">
        <w:rPr>
          <w:rStyle w:val="Hyperlink"/>
          <w:color w:val="auto"/>
          <w:u w:val="none"/>
        </w:rPr>
        <w:t>://www.treasury.gov</w:t>
      </w:r>
      <w:r w:rsidRPr="00560DEB">
        <w:rPr>
          <w:rStyle w:val="Hyperlink"/>
          <w:i/>
          <w:color w:val="auto"/>
          <w:u w:val="none"/>
        </w:rPr>
        <w:t>/</w:t>
      </w:r>
      <w:r w:rsidRPr="00560DEB">
        <w:rPr>
          <w:rStyle w:val="Hyperlink"/>
          <w:color w:val="auto"/>
          <w:u w:val="none"/>
        </w:rPr>
        <w:t>resource-center/data-chart-center/Pages/index.aspx</w:t>
      </w:r>
      <w:r>
        <w:t xml:space="preserve">. </w:t>
      </w:r>
    </w:p>
  </w:footnote>
  <w:footnote w:id="20">
    <w:p w14:paraId="3F4EFB64" w14:textId="77777777" w:rsidR="00BF3BE2" w:rsidRDefault="00BF3BE2" w:rsidP="00606F5B">
      <w:pPr>
        <w:pStyle w:val="FootnoteText"/>
        <w:ind w:firstLine="720"/>
      </w:pPr>
      <w:r w:rsidRPr="00A270D3">
        <w:rPr>
          <w:rStyle w:val="FootnoteReference"/>
        </w:rPr>
        <w:footnoteRef/>
      </w:r>
      <w:r w:rsidRPr="00A270D3">
        <w:t xml:space="preserve"> </w:t>
      </w:r>
      <w:r w:rsidRPr="00CC45FD">
        <w:t>Summary Statistics of Annual Total Returns, Income Returns, and Capital Appreciation Returns of Basic US Asset Classes 1926-201</w:t>
      </w:r>
      <w:r>
        <w:t>8</w:t>
      </w:r>
      <w:r w:rsidRPr="00CC45FD">
        <w:t>, 201</w:t>
      </w:r>
      <w:r>
        <w:t>9</w:t>
      </w:r>
      <w:r w:rsidRPr="00CC45FD">
        <w:t xml:space="preserve"> Stocks, Bonds, Bills, and Inflation Yearbook, Duff &amp; Phelps.</w:t>
      </w:r>
    </w:p>
    <w:p w14:paraId="2E791578" w14:textId="77777777" w:rsidR="00BF3BE2" w:rsidRPr="008B089D" w:rsidRDefault="00BF3BE2" w:rsidP="00606F5B">
      <w:pPr>
        <w:pStyle w:val="FootnoteText"/>
        <w:ind w:firstLine="720"/>
        <w:rPr>
          <w:i/>
        </w:rPr>
      </w:pPr>
    </w:p>
  </w:footnote>
  <w:footnote w:id="21">
    <w:p w14:paraId="65B38D16" w14:textId="28FC2B84" w:rsidR="00BF3BE2" w:rsidRDefault="00BF3BE2" w:rsidP="00560DEB">
      <w:pPr>
        <w:jc w:val="both"/>
      </w:pPr>
      <w:r>
        <w:tab/>
      </w:r>
      <w:r>
        <w:rPr>
          <w:rStyle w:val="FootnoteReference"/>
        </w:rPr>
        <w:footnoteRef/>
      </w:r>
      <w:r>
        <w:t xml:space="preserve"> </w:t>
      </w:r>
      <w:r w:rsidRPr="00AD430A">
        <w:rPr>
          <w:i/>
        </w:rPr>
        <w:t>Entergy Texas, Inc.'s Statement of Intent and Application for Authority to Change Rates</w:t>
      </w:r>
      <w:r>
        <w:rPr>
          <w:i/>
        </w:rPr>
        <w:t xml:space="preserve">, </w:t>
      </w:r>
      <w:r>
        <w:t xml:space="preserve">Docket No. 48371, Pre-filed Direct Testimony of Mark </w:t>
      </w:r>
      <w:proofErr w:type="spellStart"/>
      <w:r>
        <w:t>Filarowicz</w:t>
      </w:r>
      <w:proofErr w:type="spellEnd"/>
      <w:r>
        <w:t xml:space="preserve"> at 14 (Aug. 8, 2018); and </w:t>
      </w:r>
      <w:r w:rsidRPr="00071FB9">
        <w:rPr>
          <w:i/>
        </w:rPr>
        <w:t>Application of Texas-New Mexico Power Company to Change Rates</w:t>
      </w:r>
      <w:r>
        <w:t>, Docket No. 48401, Pre-filed Direct Testimony of Nancy Palma at 19 (Aug. 20, 2018).</w:t>
      </w:r>
    </w:p>
    <w:p w14:paraId="26B63D65" w14:textId="77777777" w:rsidR="00BF3BE2" w:rsidRDefault="00BF3BE2" w:rsidP="00DC1963"/>
  </w:footnote>
  <w:footnote w:id="22">
    <w:p w14:paraId="47946E53" w14:textId="4F74C70C" w:rsidR="00BF3BE2" w:rsidRPr="0072730C" w:rsidRDefault="00BF3BE2" w:rsidP="0006776B">
      <w:pPr>
        <w:pStyle w:val="FootnoteText"/>
        <w:spacing w:after="120"/>
        <w:ind w:firstLine="720"/>
        <w:jc w:val="both"/>
      </w:pPr>
      <w:r>
        <w:rPr>
          <w:rStyle w:val="FootnoteReference"/>
        </w:rPr>
        <w:footnoteRef/>
      </w:r>
      <w:r>
        <w:t xml:space="preserve"> </w:t>
      </w:r>
      <w:r w:rsidRPr="005668D6">
        <w:t>A</w:t>
      </w:r>
      <w:r>
        <w:t>s I will discuss in Section VII of my testimony, a</w:t>
      </w:r>
      <w:r w:rsidRPr="005668D6">
        <w:t>lthough</w:t>
      </w:r>
      <w:r>
        <w:t xml:space="preserve"> I don’t believe that </w:t>
      </w:r>
      <w:r w:rsidRPr="009354E7">
        <w:t>delivery-only electric utilities in other jurisdictions</w:t>
      </w:r>
      <w:r>
        <w:t>,</w:t>
      </w:r>
      <w:r w:rsidRPr="009354E7">
        <w:t xml:space="preserve"> </w:t>
      </w:r>
      <w:r>
        <w:t xml:space="preserve">as reported by the </w:t>
      </w:r>
      <w:r w:rsidRPr="007024B8">
        <w:t>S&amp;P Global Market Intelligence RRA Regulatory Fo</w:t>
      </w:r>
      <w:r>
        <w:t xml:space="preserve">cus report for 2018, are comparable to CEHE, I took into consideration the average authorized ROE of 9.42%, as reported in the </w:t>
      </w:r>
      <w:r w:rsidRPr="002061E5">
        <w:t>1Q-2019 S&amp;P Global Market Intelligence RRA Report</w:t>
      </w:r>
      <w:r>
        <w:t>,</w:t>
      </w:r>
      <w:r w:rsidRPr="002061E5">
        <w:t xml:space="preserve"> </w:t>
      </w:r>
      <w:r>
        <w:t>to evaluate the reasonableness of my recommended ROE for CEHE.</w:t>
      </w:r>
    </w:p>
  </w:footnote>
  <w:footnote w:id="23">
    <w:p w14:paraId="051B1805" w14:textId="4D501202" w:rsidR="00BF3BE2" w:rsidRPr="00095A44" w:rsidRDefault="00BF3BE2" w:rsidP="00A96B25">
      <w:pPr>
        <w:pStyle w:val="FootnoteText"/>
        <w:spacing w:after="120"/>
        <w:ind w:firstLine="720"/>
        <w:jc w:val="both"/>
      </w:pPr>
      <w:r>
        <w:rPr>
          <w:rStyle w:val="FootnoteReference"/>
        </w:rPr>
        <w:footnoteRef/>
      </w:r>
      <w:r>
        <w:t xml:space="preserve"> </w:t>
      </w:r>
      <w:r w:rsidRPr="007E3098">
        <w:t xml:space="preserve">Direct Testimony of </w:t>
      </w:r>
      <w:r>
        <w:t>Robert B. McRae at 37; and Application, Schedule II-C-2.4a at 1.</w:t>
      </w:r>
    </w:p>
  </w:footnote>
  <w:footnote w:id="24">
    <w:p w14:paraId="7371B639" w14:textId="353EC2E6" w:rsidR="00BF3BE2" w:rsidRPr="00095A44" w:rsidRDefault="00BF3BE2" w:rsidP="00040F1F">
      <w:pPr>
        <w:pStyle w:val="FootnoteText"/>
        <w:spacing w:after="120"/>
        <w:ind w:firstLine="720"/>
        <w:jc w:val="both"/>
      </w:pPr>
      <w:r>
        <w:rPr>
          <w:rStyle w:val="FootnoteReference"/>
        </w:rPr>
        <w:footnoteRef/>
      </w:r>
      <w:r>
        <w:t xml:space="preserve"> </w:t>
      </w:r>
      <w:r w:rsidRPr="0095064B">
        <w:t xml:space="preserve">Direct Testimony of Robert B. McRae at </w:t>
      </w:r>
      <w:r>
        <w:t>4</w:t>
      </w:r>
      <w:r w:rsidRPr="0095064B">
        <w:t>.</w:t>
      </w:r>
    </w:p>
  </w:footnote>
  <w:footnote w:id="25">
    <w:p w14:paraId="32A55D53" w14:textId="77777777" w:rsidR="00BF3BE2" w:rsidRPr="00095A44" w:rsidRDefault="00BF3BE2" w:rsidP="00F254D1">
      <w:pPr>
        <w:pStyle w:val="FootnoteText"/>
        <w:spacing w:after="120"/>
        <w:ind w:firstLine="720"/>
        <w:jc w:val="both"/>
      </w:pPr>
      <w:r>
        <w:rPr>
          <w:rStyle w:val="FootnoteReference"/>
        </w:rPr>
        <w:footnoteRef/>
      </w:r>
      <w:r>
        <w:t xml:space="preserve"> </w:t>
      </w:r>
      <w:r w:rsidRPr="0095064B">
        <w:t xml:space="preserve">Direct Testimony of Robert B. McRae at </w:t>
      </w:r>
      <w:r>
        <w:t>14</w:t>
      </w:r>
      <w:r w:rsidRPr="0095064B">
        <w:t>.</w:t>
      </w:r>
    </w:p>
  </w:footnote>
  <w:footnote w:id="26">
    <w:p w14:paraId="60BFBD9E" w14:textId="7B09B33C" w:rsidR="00BF3BE2" w:rsidRDefault="00BF3BE2" w:rsidP="00437F74">
      <w:pPr>
        <w:pStyle w:val="FootnoteText"/>
        <w:spacing w:after="120"/>
        <w:ind w:firstLine="720"/>
        <w:jc w:val="both"/>
      </w:pPr>
      <w:r>
        <w:rPr>
          <w:rStyle w:val="FootnoteReference"/>
        </w:rPr>
        <w:footnoteRef/>
      </w:r>
      <w:r>
        <w:t xml:space="preserve"> </w:t>
      </w:r>
      <w:r>
        <w:rPr>
          <w:i/>
        </w:rPr>
        <w:t xml:space="preserve">Report on Alternative Ratemaking Mechanisms, </w:t>
      </w:r>
      <w:r>
        <w:t xml:space="preserve">Project No. 46046, </w:t>
      </w:r>
      <w:r w:rsidRPr="00CE65FD">
        <w:t>Report on Alternative Ratemaking Mechanisms</w:t>
      </w:r>
      <w:r>
        <w:t>, Attachment A at 49 (Jan. 12, 2017).</w:t>
      </w:r>
    </w:p>
  </w:footnote>
  <w:footnote w:id="27">
    <w:p w14:paraId="2D064874" w14:textId="5FBA9F5E" w:rsidR="00BF3BE2" w:rsidRPr="00095A44" w:rsidRDefault="00BF3BE2" w:rsidP="00BE7685">
      <w:pPr>
        <w:pStyle w:val="FootnoteText"/>
        <w:spacing w:after="120"/>
        <w:ind w:firstLine="720"/>
        <w:jc w:val="both"/>
      </w:pPr>
      <w:r>
        <w:rPr>
          <w:rStyle w:val="FootnoteReference"/>
        </w:rPr>
        <w:footnoteRef/>
      </w:r>
      <w:r>
        <w:t xml:space="preserve"> </w:t>
      </w:r>
      <w:r w:rsidRPr="0095064B">
        <w:t xml:space="preserve">Direct Testimony of Robert B. McRae at </w:t>
      </w:r>
      <w:r>
        <w:t>27</w:t>
      </w:r>
      <w:r w:rsidRPr="0095064B">
        <w:t>.</w:t>
      </w:r>
    </w:p>
  </w:footnote>
  <w:footnote w:id="28">
    <w:p w14:paraId="3F3EA1D1" w14:textId="77777777" w:rsidR="00BF3BE2" w:rsidRPr="00095A44" w:rsidRDefault="00BF3BE2" w:rsidP="00A95BB0">
      <w:pPr>
        <w:pStyle w:val="FootnoteText"/>
        <w:spacing w:after="120"/>
        <w:ind w:firstLine="720"/>
        <w:jc w:val="both"/>
      </w:pPr>
      <w:r>
        <w:rPr>
          <w:rStyle w:val="FootnoteReference"/>
        </w:rPr>
        <w:footnoteRef/>
      </w:r>
      <w:r>
        <w:t xml:space="preserve"> </w:t>
      </w:r>
      <w:r w:rsidRPr="0095064B">
        <w:t xml:space="preserve">Direct Testimony of Robert B. McRae at </w:t>
      </w:r>
      <w:r>
        <w:t>30</w:t>
      </w:r>
      <w:r w:rsidRPr="0095064B">
        <w:t>.</w:t>
      </w:r>
    </w:p>
  </w:footnote>
  <w:footnote w:id="29">
    <w:p w14:paraId="6C5AB127" w14:textId="77777777" w:rsidR="00BF3BE2" w:rsidRPr="00095A44" w:rsidRDefault="00BF3BE2" w:rsidP="003C3D6A">
      <w:pPr>
        <w:pStyle w:val="FootnoteText"/>
        <w:spacing w:after="120"/>
        <w:ind w:firstLine="720"/>
        <w:jc w:val="both"/>
      </w:pPr>
      <w:r>
        <w:rPr>
          <w:rStyle w:val="FootnoteReference"/>
        </w:rPr>
        <w:footnoteRef/>
      </w:r>
      <w:r>
        <w:t xml:space="preserve"> Fitch Ratings, </w:t>
      </w:r>
      <w:r w:rsidRPr="00B04169">
        <w:rPr>
          <w:i/>
        </w:rPr>
        <w:t>CenterPoint Energy Houston Electric, LLC</w:t>
      </w:r>
      <w:r>
        <w:t xml:space="preserve"> at 1 (Apr. 13, 2018); this report was provided by CEHE as confidential schedule II-C-2.10 (Fitch 20180413 CEHE).</w:t>
      </w:r>
    </w:p>
  </w:footnote>
  <w:footnote w:id="30">
    <w:p w14:paraId="4290C6DF" w14:textId="77777777" w:rsidR="00BF3BE2" w:rsidRDefault="00BF3BE2" w:rsidP="007075C4">
      <w:pPr>
        <w:pStyle w:val="FootnoteText"/>
        <w:spacing w:after="120"/>
        <w:ind w:firstLine="720"/>
        <w:jc w:val="both"/>
      </w:pPr>
      <w:r>
        <w:rPr>
          <w:rStyle w:val="FootnoteReference"/>
        </w:rPr>
        <w:footnoteRef/>
      </w:r>
      <w:r>
        <w:t xml:space="preserve"> </w:t>
      </w:r>
      <w:r>
        <w:rPr>
          <w:i/>
        </w:rPr>
        <w:t xml:space="preserve">Application of Texas-New Mexico Power Company to Change Rates, </w:t>
      </w:r>
      <w:r>
        <w:t>Docket No. 48401, Ordering Paragraph 16 (Dec. 20, 2018).</w:t>
      </w:r>
    </w:p>
  </w:footnote>
  <w:footnote w:id="31">
    <w:p w14:paraId="38850CEC" w14:textId="77777777" w:rsidR="00BF3BE2" w:rsidRDefault="00BF3BE2" w:rsidP="00E105AD">
      <w:pPr>
        <w:pStyle w:val="FootnoteText"/>
        <w:spacing w:after="120"/>
        <w:ind w:firstLine="720"/>
        <w:jc w:val="both"/>
      </w:pPr>
      <w:r>
        <w:rPr>
          <w:rStyle w:val="FootnoteReference"/>
        </w:rPr>
        <w:footnoteRef/>
      </w:r>
      <w:r>
        <w:t xml:space="preserve"> </w:t>
      </w:r>
      <w:r w:rsidRPr="00AD430A">
        <w:rPr>
          <w:i/>
        </w:rPr>
        <w:t>Entergy Texas, Inc.'s Statement of Intent and Application for Authority to Change Rates</w:t>
      </w:r>
      <w:r>
        <w:rPr>
          <w:i/>
        </w:rPr>
        <w:t xml:space="preserve">, </w:t>
      </w:r>
      <w:r>
        <w:t xml:space="preserve">Docket No. 48371, Direct Testimony of Mark </w:t>
      </w:r>
      <w:proofErr w:type="spellStart"/>
      <w:r>
        <w:t>Filarowicz</w:t>
      </w:r>
      <w:proofErr w:type="spellEnd"/>
      <w:r>
        <w:t xml:space="preserve"> at 10 (Aug. 8, 2018).</w:t>
      </w:r>
    </w:p>
  </w:footnote>
  <w:footnote w:id="32">
    <w:p w14:paraId="72CD21B7" w14:textId="725A943A" w:rsidR="00BF3BE2" w:rsidRDefault="00BF3BE2" w:rsidP="00F8728E">
      <w:pPr>
        <w:pStyle w:val="FootnoteText"/>
        <w:spacing w:after="120"/>
        <w:ind w:firstLine="720"/>
        <w:jc w:val="both"/>
      </w:pPr>
      <w:r>
        <w:rPr>
          <w:rStyle w:val="FootnoteReference"/>
        </w:rPr>
        <w:footnoteRef/>
      </w:r>
      <w:r>
        <w:t xml:space="preserve"> </w:t>
      </w:r>
      <w:r>
        <w:rPr>
          <w:i/>
        </w:rPr>
        <w:t>Id.</w:t>
      </w:r>
    </w:p>
  </w:footnote>
  <w:footnote w:id="33">
    <w:p w14:paraId="0F209DD9" w14:textId="185DC85A" w:rsidR="00BF3BE2" w:rsidRDefault="00BF3BE2" w:rsidP="00560DEB">
      <w:pPr>
        <w:pStyle w:val="FootnoteText"/>
        <w:ind w:firstLine="720"/>
      </w:pPr>
      <w:r>
        <w:rPr>
          <w:rStyle w:val="FootnoteReference"/>
        </w:rPr>
        <w:footnoteRef/>
      </w:r>
      <w:r>
        <w:t xml:space="preserve"> </w:t>
      </w:r>
      <w:r w:rsidRPr="00560DEB">
        <w:rPr>
          <w:i/>
        </w:rPr>
        <w:t>Bluefield</w:t>
      </w:r>
      <w:r>
        <w:t xml:space="preserve">, 262 U.S. at 693. </w:t>
      </w:r>
    </w:p>
    <w:p w14:paraId="65235AC3" w14:textId="77777777" w:rsidR="00BF3BE2" w:rsidRDefault="00BF3BE2" w:rsidP="00560DEB">
      <w:pPr>
        <w:pStyle w:val="FootnoteText"/>
        <w:ind w:firstLine="720"/>
      </w:pPr>
    </w:p>
  </w:footnote>
  <w:footnote w:id="34">
    <w:p w14:paraId="39620B8B" w14:textId="164437EC" w:rsidR="00BF3BE2" w:rsidRDefault="00BF3BE2">
      <w:pPr>
        <w:pStyle w:val="FootnoteText"/>
        <w:spacing w:after="120"/>
        <w:ind w:firstLine="720"/>
      </w:pPr>
      <w:r>
        <w:rPr>
          <w:rStyle w:val="FootnoteReference"/>
        </w:rPr>
        <w:footnoteRef/>
      </w:r>
      <w:r>
        <w:t xml:space="preserve"> </w:t>
      </w:r>
      <w:r>
        <w:rPr>
          <w:i/>
        </w:rPr>
        <w:t xml:space="preserve">Id. </w:t>
      </w:r>
      <w:r w:rsidRPr="00AD430A">
        <w:t>at 10 and 11</w:t>
      </w:r>
      <w:r>
        <w:t>.</w:t>
      </w:r>
    </w:p>
  </w:footnote>
  <w:footnote w:id="35">
    <w:p w14:paraId="15F6088D" w14:textId="77777777" w:rsidR="00BF3BE2" w:rsidRPr="00095A44" w:rsidRDefault="00BF3BE2" w:rsidP="00360EEA">
      <w:pPr>
        <w:pStyle w:val="FootnoteText"/>
        <w:spacing w:after="120"/>
        <w:ind w:firstLine="720"/>
        <w:jc w:val="both"/>
      </w:pPr>
      <w:r>
        <w:rPr>
          <w:rStyle w:val="FootnoteReference"/>
        </w:rPr>
        <w:footnoteRef/>
      </w:r>
      <w:r>
        <w:t xml:space="preserve"> </w:t>
      </w:r>
      <w:r w:rsidRPr="0095064B">
        <w:t xml:space="preserve">Direct Testimony of Robert B. McRae at </w:t>
      </w:r>
      <w:r>
        <w:t>34</w:t>
      </w:r>
      <w:r w:rsidRPr="0095064B">
        <w:t>.</w:t>
      </w:r>
    </w:p>
  </w:footnote>
  <w:footnote w:id="36">
    <w:p w14:paraId="40CCE9FC" w14:textId="77777777" w:rsidR="00BF3BE2" w:rsidRPr="00095A44" w:rsidRDefault="00BF3BE2" w:rsidP="006D69BF">
      <w:pPr>
        <w:pStyle w:val="FootnoteText"/>
        <w:spacing w:after="120"/>
        <w:ind w:firstLine="720"/>
        <w:jc w:val="both"/>
      </w:pPr>
      <w:r>
        <w:rPr>
          <w:rStyle w:val="FootnoteReference"/>
        </w:rPr>
        <w:footnoteRef/>
      </w:r>
      <w:r>
        <w:t xml:space="preserve"> </w:t>
      </w:r>
      <w:r w:rsidRPr="0095064B">
        <w:t>Direct Testimony of Robert B. McRae</w:t>
      </w:r>
      <w:r>
        <w:t>, Confidential Exhibit RBM-5</w:t>
      </w:r>
      <w:r w:rsidRPr="0095064B">
        <w:t>.</w:t>
      </w:r>
    </w:p>
  </w:footnote>
  <w:footnote w:id="37">
    <w:p w14:paraId="10394503" w14:textId="77777777" w:rsidR="00BF3BE2" w:rsidRPr="00095A44" w:rsidRDefault="00BF3BE2" w:rsidP="006D69BF">
      <w:pPr>
        <w:pStyle w:val="FootnoteText"/>
        <w:spacing w:after="120"/>
        <w:ind w:firstLine="720"/>
        <w:jc w:val="both"/>
      </w:pPr>
      <w:r>
        <w:rPr>
          <w:rStyle w:val="FootnoteReference"/>
        </w:rPr>
        <w:footnoteRef/>
      </w:r>
      <w:r>
        <w:t xml:space="preserve"> </w:t>
      </w:r>
      <w:r w:rsidRPr="0095064B">
        <w:t xml:space="preserve">Direct Testimony of Robert B. McRae at </w:t>
      </w:r>
      <w:r>
        <w:t>34</w:t>
      </w:r>
      <w:r w:rsidRPr="0095064B">
        <w:t>.</w:t>
      </w:r>
    </w:p>
  </w:footnote>
  <w:footnote w:id="38">
    <w:p w14:paraId="0AF45CBB" w14:textId="77777777" w:rsidR="00BF3BE2" w:rsidRPr="009316C3" w:rsidRDefault="00BF3BE2" w:rsidP="00746747">
      <w:pPr>
        <w:pStyle w:val="FootnoteText"/>
        <w:spacing w:after="120"/>
        <w:ind w:firstLine="720"/>
        <w:jc w:val="both"/>
        <w:rPr>
          <w:i/>
        </w:rPr>
      </w:pPr>
      <w:r w:rsidRPr="009E28F6">
        <w:rPr>
          <w:rStyle w:val="FootnoteReference"/>
        </w:rPr>
        <w:footnoteRef/>
      </w:r>
      <w:r w:rsidRPr="009E28F6">
        <w:t xml:space="preserve"> </w:t>
      </w:r>
      <w:r w:rsidRPr="009E28F6">
        <w:rPr>
          <w:i/>
        </w:rPr>
        <w:t>Generic Issues Associated with Applications for Approval of Unbundle</w:t>
      </w:r>
      <w:r>
        <w:rPr>
          <w:i/>
        </w:rPr>
        <w:t>d</w:t>
      </w:r>
      <w:r w:rsidRPr="009E28F6">
        <w:rPr>
          <w:i/>
        </w:rPr>
        <w:t xml:space="preserve"> Cost of Service Rate Pursuant to PURA </w:t>
      </w:r>
      <w:r>
        <w:rPr>
          <w:i/>
        </w:rPr>
        <w:t xml:space="preserve">§ </w:t>
      </w:r>
      <w:r w:rsidRPr="009E28F6">
        <w:rPr>
          <w:i/>
        </w:rPr>
        <w:t xml:space="preserve">39.201 and Public Utility Commission Substantive Rule </w:t>
      </w:r>
      <w:r>
        <w:rPr>
          <w:i/>
        </w:rPr>
        <w:t xml:space="preserve">§ </w:t>
      </w:r>
      <w:r w:rsidRPr="009E28F6">
        <w:rPr>
          <w:i/>
        </w:rPr>
        <w:t>25.344</w:t>
      </w:r>
      <w:r w:rsidRPr="009E28F6">
        <w:t xml:space="preserve">, </w:t>
      </w:r>
      <w:r>
        <w:t xml:space="preserve">Order No. 42, </w:t>
      </w:r>
      <w:r w:rsidRPr="009E28F6">
        <w:t xml:space="preserve">Docket </w:t>
      </w:r>
      <w:r>
        <w:t xml:space="preserve">No. </w:t>
      </w:r>
      <w:r w:rsidRPr="009E28F6">
        <w:t>22344</w:t>
      </w:r>
      <w:r>
        <w:t xml:space="preserve"> (Dec. 22, 2000)</w:t>
      </w:r>
    </w:p>
  </w:footnote>
  <w:footnote w:id="39">
    <w:p w14:paraId="624BB25D" w14:textId="77777777" w:rsidR="00BF3BE2" w:rsidRDefault="00BF3BE2" w:rsidP="00757C8F">
      <w:pPr>
        <w:pStyle w:val="FootnoteText"/>
        <w:spacing w:after="120"/>
        <w:ind w:firstLine="720"/>
        <w:jc w:val="both"/>
      </w:pPr>
      <w:r>
        <w:rPr>
          <w:rStyle w:val="FootnoteReference"/>
        </w:rPr>
        <w:footnoteRef/>
      </w:r>
      <w:r>
        <w:t xml:space="preserve">  </w:t>
      </w:r>
      <w:r>
        <w:rPr>
          <w:i/>
        </w:rPr>
        <w:t xml:space="preserve">Id. </w:t>
      </w:r>
      <w:r>
        <w:t>at 7.</w:t>
      </w:r>
    </w:p>
  </w:footnote>
  <w:footnote w:id="40">
    <w:p w14:paraId="588F613B" w14:textId="2015570E" w:rsidR="00BF3BE2" w:rsidRDefault="00BF3BE2" w:rsidP="006237F3">
      <w:pPr>
        <w:pStyle w:val="FootnoteText"/>
        <w:spacing w:after="120"/>
        <w:ind w:firstLine="720"/>
        <w:jc w:val="both"/>
      </w:pPr>
      <w:r>
        <w:rPr>
          <w:rStyle w:val="FootnoteReference"/>
        </w:rPr>
        <w:footnoteRef/>
      </w:r>
      <w:r>
        <w:t xml:space="preserve"> </w:t>
      </w:r>
      <w:r>
        <w:rPr>
          <w:i/>
        </w:rPr>
        <w:t xml:space="preserve">Report on Alternative Ratemaking Mechanisms, </w:t>
      </w:r>
      <w:r>
        <w:t xml:space="preserve">Project No. 46046, </w:t>
      </w:r>
      <w:r w:rsidRPr="00CE65FD">
        <w:t>Report on Alternative Ratemaking Mechanisms</w:t>
      </w:r>
      <w:r>
        <w:t xml:space="preserve"> at 4 (Jan. 12, 2017).</w:t>
      </w:r>
    </w:p>
  </w:footnote>
  <w:footnote w:id="41">
    <w:p w14:paraId="27E845D6" w14:textId="3A5184E2" w:rsidR="00BF3BE2" w:rsidRDefault="00BF3BE2" w:rsidP="002C266F">
      <w:pPr>
        <w:pStyle w:val="FootnoteText"/>
        <w:spacing w:after="120"/>
        <w:ind w:firstLine="720"/>
        <w:jc w:val="both"/>
      </w:pPr>
      <w:r>
        <w:rPr>
          <w:rStyle w:val="FootnoteReference"/>
        </w:rPr>
        <w:footnoteRef/>
      </w:r>
      <w:r>
        <w:t xml:space="preserve"> The following TDUs are operating in Texas with authorized capital structures comprising 60% long-term debt and 40% equity:  Cross Texas Transmission, LLC (Docket No. 43950), Electric Transmission Texas, LLC (Docket No. 33734), AEP Texas Central Company (Docket No. 33309), AEP Texas North Company (Docket No. 33310), Wind Energy Transmission Texas, </w:t>
      </w:r>
      <w:proofErr w:type="gramStart"/>
      <w:r>
        <w:t>LLC</w:t>
      </w:r>
      <w:proofErr w:type="gramEnd"/>
      <w:r>
        <w:t xml:space="preserve"> (Docket No. 44746).</w:t>
      </w:r>
    </w:p>
    <w:p w14:paraId="0F72FF23" w14:textId="0F31D72A" w:rsidR="00BF3BE2" w:rsidRDefault="00BF3BE2" w:rsidP="002C266F">
      <w:pPr>
        <w:pStyle w:val="FootnoteText"/>
        <w:spacing w:after="120"/>
        <w:ind w:firstLine="720"/>
        <w:jc w:val="both"/>
      </w:pPr>
      <w:r>
        <w:t xml:space="preserve">Exceptions include </w:t>
      </w:r>
      <w:proofErr w:type="spellStart"/>
      <w:r>
        <w:t>Oncor</w:t>
      </w:r>
      <w:proofErr w:type="spellEnd"/>
      <w:r>
        <w:t xml:space="preserve"> Electric Delivery Company with an authorized capital structure comprising 57.5% long-term debt and 42.5% equity (Docket No. 46957), as well as CEHE (Docket No. 38339), Lone Star Transmission Texas, LLC (Docket No. 42469), and Texas-New Mexico Power (Docket No. 48401) with an authorized capital structure comprising 55% long-term debt and</w:t>
      </w:r>
      <w:r w:rsidRPr="00EC3BFB">
        <w:t xml:space="preserve"> </w:t>
      </w:r>
      <w:r>
        <w:t>45% equity.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7891" w14:textId="77777777" w:rsidR="00BF3BE2" w:rsidRDefault="00BF3B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488BF" w14:textId="1C591FFF" w:rsidR="00BF3BE2" w:rsidRPr="007D1DD3" w:rsidRDefault="00BF3BE2" w:rsidP="0046733A">
    <w:pPr>
      <w:pBdr>
        <w:bottom w:val="single" w:sz="24" w:space="0" w:color="auto"/>
      </w:pBdr>
      <w:tabs>
        <w:tab w:val="right" w:pos="9216"/>
      </w:tabs>
      <w:spacing w:after="120" w:line="240" w:lineRule="exact"/>
    </w:pPr>
    <w:r>
      <w:t>DOCKET NO. 49421 – CenterPoint Energy Houston Electric, LLC</w:t>
    </w:r>
    <w:r w:rsidRPr="007D1DD3">
      <w:tab/>
      <w:t xml:space="preserve">Page </w:t>
    </w:r>
    <w:r w:rsidRPr="0046733A">
      <w:rPr>
        <w:rStyle w:val="PageNumber"/>
      </w:rPr>
      <w:fldChar w:fldCharType="begin"/>
    </w:r>
    <w:r w:rsidRPr="0046733A">
      <w:rPr>
        <w:rStyle w:val="PageNumber"/>
      </w:rPr>
      <w:instrText xml:space="preserve"> PAGE   \* MERGEFORMAT </w:instrText>
    </w:r>
    <w:r w:rsidRPr="0046733A">
      <w:rPr>
        <w:rStyle w:val="PageNumber"/>
      </w:rPr>
      <w:fldChar w:fldCharType="separate"/>
    </w:r>
    <w:r w:rsidR="001637DA">
      <w:rPr>
        <w:rStyle w:val="PageNumber"/>
        <w:noProof/>
      </w:rPr>
      <w:t>38</w:t>
    </w:r>
    <w:r w:rsidRPr="0046733A">
      <w:rPr>
        <w:rStyle w:val="PageNumber"/>
        <w:noProof/>
      </w:rPr>
      <w:fldChar w:fldCharType="end"/>
    </w:r>
    <w:r w:rsidRPr="007D1DD3">
      <w:rPr>
        <w:rStyle w:val="PageNumber"/>
      </w:rPr>
      <w:t xml:space="preserve"> of </w:t>
    </w:r>
    <w:r w:rsidRPr="007D1DD3">
      <w:rPr>
        <w:rStyle w:val="PageNumber"/>
      </w:rPr>
      <w:fldChar w:fldCharType="begin"/>
    </w:r>
    <w:r w:rsidRPr="007D1DD3">
      <w:rPr>
        <w:rStyle w:val="PageNumber"/>
      </w:rPr>
      <w:instrText xml:space="preserve"> NUMPAGES </w:instrText>
    </w:r>
    <w:r w:rsidRPr="007D1DD3">
      <w:rPr>
        <w:rStyle w:val="PageNumber"/>
      </w:rPr>
      <w:fldChar w:fldCharType="separate"/>
    </w:r>
    <w:r w:rsidR="001637DA">
      <w:rPr>
        <w:rStyle w:val="PageNumber"/>
        <w:noProof/>
      </w:rPr>
      <w:t>39</w:t>
    </w:r>
    <w:r w:rsidRPr="007D1DD3">
      <w:rPr>
        <w:rStyle w:val="PageNumber"/>
      </w:rPr>
      <w:fldChar w:fldCharType="end"/>
    </w:r>
  </w:p>
  <w:p w14:paraId="0CB3249D" w14:textId="683BAF14" w:rsidR="00BF3BE2" w:rsidRPr="006A6F62" w:rsidRDefault="00BF3BE2" w:rsidP="00E1516E">
    <w:pPr>
      <w:pStyle w:val="Header"/>
      <w:tabs>
        <w:tab w:val="left" w:pos="5805"/>
      </w:tabs>
      <w:rPr>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47399" w14:textId="77777777" w:rsidR="00BF3BE2" w:rsidRDefault="00BF3B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71AC3216"/>
    <w:lvl w:ilvl="0">
      <w:start w:val="38"/>
      <w:numFmt w:val="decimal"/>
      <w:pStyle w:val="FOFNumbered"/>
      <w:lvlText w:val="%1."/>
      <w:lvlJc w:val="left"/>
      <w:pPr>
        <w:tabs>
          <w:tab w:val="num" w:pos="720"/>
        </w:tabs>
        <w:ind w:left="720" w:hanging="720"/>
      </w:pPr>
      <w:rPr>
        <w:rFonts w:hint="default"/>
      </w:rPr>
    </w:lvl>
  </w:abstractNum>
  <w:abstractNum w:abstractNumId="1" w15:restartNumberingAfterBreak="0">
    <w:nsid w:val="0EE222F7"/>
    <w:multiLevelType w:val="multilevel"/>
    <w:tmpl w:val="A380DB02"/>
    <w:lvl w:ilvl="0">
      <w:start w:val="1"/>
      <w:numFmt w:val="none"/>
      <w:lvlText w:val="%1Q."/>
      <w:lvlJc w:val="left"/>
      <w:pPr>
        <w:tabs>
          <w:tab w:val="num" w:pos="360"/>
        </w:tabs>
        <w:ind w:left="0" w:firstLine="0"/>
      </w:pPr>
      <w:rPr>
        <w:rFonts w:hint="default"/>
      </w:rPr>
    </w:lvl>
    <w:lvl w:ilvl="1">
      <w:start w:val="1"/>
      <w:numFmt w:val="upperLetter"/>
      <w:lvlText w:val="%2."/>
      <w:lvlJc w:val="left"/>
      <w:pPr>
        <w:tabs>
          <w:tab w:val="num" w:pos="360"/>
        </w:tabs>
        <w:ind w:left="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3060"/>
        </w:tabs>
        <w:ind w:left="270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16B845D7"/>
    <w:multiLevelType w:val="hybridMultilevel"/>
    <w:tmpl w:val="822EC43C"/>
    <w:lvl w:ilvl="0" w:tplc="FBB2933C">
      <w:start w:val="1"/>
      <w:numFmt w:val="decimal"/>
      <w:lvlText w:val="(%1)"/>
      <w:lvlJc w:val="left"/>
      <w:pPr>
        <w:ind w:left="1845" w:hanging="405"/>
      </w:pPr>
      <w:rPr>
        <w:rFonts w:hint="default"/>
      </w:rPr>
    </w:lvl>
    <w:lvl w:ilvl="1" w:tplc="FBB2933C">
      <w:start w:val="1"/>
      <w:numFmt w:val="decimal"/>
      <w:lvlText w:val="(%2)"/>
      <w:lvlJc w:val="left"/>
      <w:pPr>
        <w:ind w:left="1755" w:hanging="360"/>
      </w:pPr>
      <w:rPr>
        <w:rFonts w:hint="default"/>
      </w:r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15:restartNumberingAfterBreak="0">
    <w:nsid w:val="1828626F"/>
    <w:multiLevelType w:val="hybridMultilevel"/>
    <w:tmpl w:val="2EDE71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6C6619"/>
    <w:multiLevelType w:val="multilevel"/>
    <w:tmpl w:val="CFF0D47C"/>
    <w:lvl w:ilvl="0">
      <w:start w:val="1"/>
      <w:numFmt w:val="none"/>
      <w:lvlText w:val="%1A."/>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15:restartNumberingAfterBreak="0">
    <w:nsid w:val="390C3B68"/>
    <w:multiLevelType w:val="hybridMultilevel"/>
    <w:tmpl w:val="CF2423F6"/>
    <w:lvl w:ilvl="0" w:tplc="FBB2933C">
      <w:start w:val="1"/>
      <w:numFmt w:val="decimal"/>
      <w:lvlText w:val="(%1)"/>
      <w:lvlJc w:val="left"/>
      <w:pPr>
        <w:ind w:left="1530" w:hanging="405"/>
      </w:pPr>
      <w:rPr>
        <w:rFonts w:hint="default"/>
      </w:rPr>
    </w:lvl>
    <w:lvl w:ilvl="1" w:tplc="04090019">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6" w15:restartNumberingAfterBreak="0">
    <w:nsid w:val="43EA1CD7"/>
    <w:multiLevelType w:val="hybridMultilevel"/>
    <w:tmpl w:val="E2B48EF4"/>
    <w:lvl w:ilvl="0" w:tplc="BF6638F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8" w15:restartNumberingAfterBreak="0">
    <w:nsid w:val="46D1708F"/>
    <w:multiLevelType w:val="hybridMultilevel"/>
    <w:tmpl w:val="DDC2D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EF4C0A"/>
    <w:multiLevelType w:val="hybridMultilevel"/>
    <w:tmpl w:val="A63605E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D272061"/>
    <w:multiLevelType w:val="hybridMultilevel"/>
    <w:tmpl w:val="C29A2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12D78AF"/>
    <w:multiLevelType w:val="hybridMultilevel"/>
    <w:tmpl w:val="6E84618A"/>
    <w:lvl w:ilvl="0" w:tplc="608071F6">
      <w:start w:val="1"/>
      <w:numFmt w:val="bullet"/>
      <w:lvlText w:val=""/>
      <w:lvlJc w:val="left"/>
      <w:pPr>
        <w:ind w:left="2520" w:hanging="360"/>
      </w:pPr>
      <w:rPr>
        <w:rFonts w:ascii="Symbol" w:hAnsi="Symbol" w:hint="default"/>
        <w:color w:val="auto"/>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560F5398"/>
    <w:multiLevelType w:val="hybridMultilevel"/>
    <w:tmpl w:val="B60A0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2540CF"/>
    <w:multiLevelType w:val="hybridMultilevel"/>
    <w:tmpl w:val="067073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8E64AA3"/>
    <w:multiLevelType w:val="hybridMultilevel"/>
    <w:tmpl w:val="04F0D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E4732"/>
    <w:multiLevelType w:val="hybridMultilevel"/>
    <w:tmpl w:val="C01CA694"/>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855376"/>
    <w:multiLevelType w:val="singleLevel"/>
    <w:tmpl w:val="3A924500"/>
    <w:lvl w:ilvl="0">
      <w:start w:val="1"/>
      <w:numFmt w:val="upperRoman"/>
      <w:pStyle w:val="Heading3"/>
      <w:lvlText w:val="%1."/>
      <w:lvlJc w:val="left"/>
      <w:pPr>
        <w:tabs>
          <w:tab w:val="num" w:pos="720"/>
        </w:tabs>
        <w:ind w:left="720" w:hanging="720"/>
      </w:pPr>
      <w:rPr>
        <w:rFonts w:hint="default"/>
        <w:sz w:val="24"/>
        <w:szCs w:val="24"/>
      </w:rPr>
    </w:lvl>
  </w:abstractNum>
  <w:abstractNum w:abstractNumId="17"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18" w15:restartNumberingAfterBreak="0">
    <w:nsid w:val="71314338"/>
    <w:multiLevelType w:val="hybridMultilevel"/>
    <w:tmpl w:val="111844B6"/>
    <w:lvl w:ilvl="0" w:tplc="93FEF426">
      <w:start w:val="1"/>
      <w:numFmt w:val="decimal"/>
      <w:lvlText w:val="(%1)"/>
      <w:lvlJc w:val="left"/>
      <w:pPr>
        <w:ind w:left="1830" w:hanging="39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35C7035"/>
    <w:multiLevelType w:val="hybridMultilevel"/>
    <w:tmpl w:val="D86667EC"/>
    <w:lvl w:ilvl="0" w:tplc="7ED65D50">
      <w:start w:val="1"/>
      <w:numFmt w:val="bullet"/>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4424C0E"/>
    <w:multiLevelType w:val="hybridMultilevel"/>
    <w:tmpl w:val="F3BE4B0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751736B2"/>
    <w:multiLevelType w:val="hybridMultilevel"/>
    <w:tmpl w:val="1792975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2" w15:restartNumberingAfterBreak="0">
    <w:nsid w:val="75A34B42"/>
    <w:multiLevelType w:val="hybridMultilevel"/>
    <w:tmpl w:val="822EC43C"/>
    <w:lvl w:ilvl="0" w:tplc="FBB2933C">
      <w:start w:val="1"/>
      <w:numFmt w:val="decimal"/>
      <w:lvlText w:val="(%1)"/>
      <w:lvlJc w:val="left"/>
      <w:pPr>
        <w:ind w:left="1845" w:hanging="405"/>
      </w:pPr>
      <w:rPr>
        <w:rFonts w:hint="default"/>
      </w:rPr>
    </w:lvl>
    <w:lvl w:ilvl="1" w:tplc="FBB2933C">
      <w:start w:val="1"/>
      <w:numFmt w:val="decimal"/>
      <w:lvlText w:val="(%2)"/>
      <w:lvlJc w:val="left"/>
      <w:pPr>
        <w:ind w:left="1755" w:hanging="360"/>
      </w:pPr>
      <w:rPr>
        <w:rFonts w:hint="default"/>
      </w:r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796A2B6B"/>
    <w:multiLevelType w:val="hybridMultilevel"/>
    <w:tmpl w:val="7F8CA414"/>
    <w:lvl w:ilvl="0" w:tplc="FE4AF43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7D074348"/>
    <w:multiLevelType w:val="hybridMultilevel"/>
    <w:tmpl w:val="ECDA2B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D4510A2"/>
    <w:multiLevelType w:val="hybridMultilevel"/>
    <w:tmpl w:val="FAFC1A90"/>
    <w:lvl w:ilvl="0" w:tplc="67CA4532">
      <w:start w:val="1"/>
      <w:numFmt w:val="upperLetter"/>
      <w:lvlText w:val="%1."/>
      <w:lvlJc w:val="left"/>
      <w:pPr>
        <w:ind w:left="1440" w:hanging="720"/>
      </w:pPr>
      <w:rPr>
        <w:rFonts w:hint="default"/>
        <w:b/>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7"/>
  </w:num>
  <w:num w:numId="3">
    <w:abstractNumId w:val="7"/>
  </w:num>
  <w:num w:numId="4">
    <w:abstractNumId w:val="0"/>
  </w:num>
  <w:num w:numId="5">
    <w:abstractNumId w:val="11"/>
  </w:num>
  <w:num w:numId="6">
    <w:abstractNumId w:val="15"/>
  </w:num>
  <w:num w:numId="7">
    <w:abstractNumId w:val="13"/>
  </w:num>
  <w:num w:numId="8">
    <w:abstractNumId w:val="12"/>
  </w:num>
  <w:num w:numId="9">
    <w:abstractNumId w:val="10"/>
  </w:num>
  <w:num w:numId="10">
    <w:abstractNumId w:val="14"/>
  </w:num>
  <w:num w:numId="11">
    <w:abstractNumId w:val="5"/>
  </w:num>
  <w:num w:numId="12">
    <w:abstractNumId w:val="2"/>
  </w:num>
  <w:num w:numId="13">
    <w:abstractNumId w:val="8"/>
  </w:num>
  <w:num w:numId="14">
    <w:abstractNumId w:val="22"/>
  </w:num>
  <w:num w:numId="15">
    <w:abstractNumId w:val="4"/>
  </w:num>
  <w:num w:numId="16">
    <w:abstractNumId w:val="1"/>
  </w:num>
  <w:num w:numId="17">
    <w:abstractNumId w:val="25"/>
  </w:num>
  <w:num w:numId="18">
    <w:abstractNumId w:val="20"/>
  </w:num>
  <w:num w:numId="19">
    <w:abstractNumId w:val="9"/>
  </w:num>
  <w:num w:numId="20">
    <w:abstractNumId w:val="3"/>
  </w:num>
  <w:num w:numId="21">
    <w:abstractNumId w:val="24"/>
  </w:num>
  <w:num w:numId="22">
    <w:abstractNumId w:val="19"/>
  </w:num>
  <w:num w:numId="23">
    <w:abstractNumId w:val="23"/>
  </w:num>
  <w:num w:numId="24">
    <w:abstractNumId w:val="6"/>
  </w:num>
  <w:num w:numId="25">
    <w:abstractNumId w:val="21"/>
  </w:num>
  <w:num w:numId="26">
    <w:abstractNumId w:val="17"/>
  </w:num>
  <w:num w:numId="27">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activeWritingStyle w:appName="MSWord" w:lang="en-US" w:vendorID="64" w:dllVersion="131078" w:nlCheck="1"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B4C"/>
    <w:rsid w:val="00001066"/>
    <w:rsid w:val="00001A28"/>
    <w:rsid w:val="00002116"/>
    <w:rsid w:val="00002357"/>
    <w:rsid w:val="0000275C"/>
    <w:rsid w:val="0000297C"/>
    <w:rsid w:val="00002BFF"/>
    <w:rsid w:val="00002D56"/>
    <w:rsid w:val="000035B7"/>
    <w:rsid w:val="000045EA"/>
    <w:rsid w:val="000052BC"/>
    <w:rsid w:val="00005DDB"/>
    <w:rsid w:val="00005F15"/>
    <w:rsid w:val="0000662C"/>
    <w:rsid w:val="0000706B"/>
    <w:rsid w:val="00007BA0"/>
    <w:rsid w:val="00007D85"/>
    <w:rsid w:val="000104AC"/>
    <w:rsid w:val="00010AD5"/>
    <w:rsid w:val="0001154A"/>
    <w:rsid w:val="000118A3"/>
    <w:rsid w:val="00011DE7"/>
    <w:rsid w:val="00011F32"/>
    <w:rsid w:val="00011F88"/>
    <w:rsid w:val="00013335"/>
    <w:rsid w:val="000137D0"/>
    <w:rsid w:val="00014433"/>
    <w:rsid w:val="0001444B"/>
    <w:rsid w:val="000146C8"/>
    <w:rsid w:val="00014856"/>
    <w:rsid w:val="00014D08"/>
    <w:rsid w:val="00016100"/>
    <w:rsid w:val="000162C4"/>
    <w:rsid w:val="00016DDA"/>
    <w:rsid w:val="00017AD5"/>
    <w:rsid w:val="00017CAD"/>
    <w:rsid w:val="0002042C"/>
    <w:rsid w:val="000208F0"/>
    <w:rsid w:val="0002097E"/>
    <w:rsid w:val="000209D3"/>
    <w:rsid w:val="00022399"/>
    <w:rsid w:val="000224EB"/>
    <w:rsid w:val="00023872"/>
    <w:rsid w:val="0002392A"/>
    <w:rsid w:val="00023A64"/>
    <w:rsid w:val="000242E3"/>
    <w:rsid w:val="0002443B"/>
    <w:rsid w:val="00024707"/>
    <w:rsid w:val="00024C4B"/>
    <w:rsid w:val="00024E81"/>
    <w:rsid w:val="000260B7"/>
    <w:rsid w:val="00026478"/>
    <w:rsid w:val="000264B2"/>
    <w:rsid w:val="000265B5"/>
    <w:rsid w:val="000267F9"/>
    <w:rsid w:val="0002689A"/>
    <w:rsid w:val="00027D7D"/>
    <w:rsid w:val="00030451"/>
    <w:rsid w:val="00030879"/>
    <w:rsid w:val="0003122F"/>
    <w:rsid w:val="000320CF"/>
    <w:rsid w:val="00032188"/>
    <w:rsid w:val="000324DD"/>
    <w:rsid w:val="000326A6"/>
    <w:rsid w:val="000328FC"/>
    <w:rsid w:val="00032FB3"/>
    <w:rsid w:val="0003391E"/>
    <w:rsid w:val="000346DE"/>
    <w:rsid w:val="00034730"/>
    <w:rsid w:val="0003499C"/>
    <w:rsid w:val="00034A91"/>
    <w:rsid w:val="000351B8"/>
    <w:rsid w:val="00035707"/>
    <w:rsid w:val="00035BA7"/>
    <w:rsid w:val="00035D73"/>
    <w:rsid w:val="000364D0"/>
    <w:rsid w:val="000367C3"/>
    <w:rsid w:val="00036E50"/>
    <w:rsid w:val="00037054"/>
    <w:rsid w:val="000371C7"/>
    <w:rsid w:val="000378A4"/>
    <w:rsid w:val="0004010B"/>
    <w:rsid w:val="0004069F"/>
    <w:rsid w:val="0004086D"/>
    <w:rsid w:val="00040A41"/>
    <w:rsid w:val="00040F1F"/>
    <w:rsid w:val="00040F5B"/>
    <w:rsid w:val="0004103A"/>
    <w:rsid w:val="000416CD"/>
    <w:rsid w:val="00041C9A"/>
    <w:rsid w:val="00041CF4"/>
    <w:rsid w:val="000425F2"/>
    <w:rsid w:val="000429B2"/>
    <w:rsid w:val="00042BB6"/>
    <w:rsid w:val="000448BE"/>
    <w:rsid w:val="000448CC"/>
    <w:rsid w:val="0004515F"/>
    <w:rsid w:val="000452FE"/>
    <w:rsid w:val="000455E1"/>
    <w:rsid w:val="00045A11"/>
    <w:rsid w:val="000464BC"/>
    <w:rsid w:val="0004674A"/>
    <w:rsid w:val="000472F3"/>
    <w:rsid w:val="00047661"/>
    <w:rsid w:val="00050118"/>
    <w:rsid w:val="000511AC"/>
    <w:rsid w:val="0005149A"/>
    <w:rsid w:val="000516B8"/>
    <w:rsid w:val="000525C4"/>
    <w:rsid w:val="00052718"/>
    <w:rsid w:val="000530E3"/>
    <w:rsid w:val="00053BAB"/>
    <w:rsid w:val="00054317"/>
    <w:rsid w:val="0005491E"/>
    <w:rsid w:val="00054FD0"/>
    <w:rsid w:val="0005598E"/>
    <w:rsid w:val="00055C19"/>
    <w:rsid w:val="00056120"/>
    <w:rsid w:val="000562E5"/>
    <w:rsid w:val="00056636"/>
    <w:rsid w:val="00056926"/>
    <w:rsid w:val="00056D2C"/>
    <w:rsid w:val="00056DF9"/>
    <w:rsid w:val="00056E85"/>
    <w:rsid w:val="00057055"/>
    <w:rsid w:val="0005792D"/>
    <w:rsid w:val="00057983"/>
    <w:rsid w:val="000602E1"/>
    <w:rsid w:val="00060EA1"/>
    <w:rsid w:val="00061008"/>
    <w:rsid w:val="0006107F"/>
    <w:rsid w:val="00061309"/>
    <w:rsid w:val="00061935"/>
    <w:rsid w:val="00061A72"/>
    <w:rsid w:val="000628B2"/>
    <w:rsid w:val="00062B3D"/>
    <w:rsid w:val="00063460"/>
    <w:rsid w:val="00063A5C"/>
    <w:rsid w:val="000642D3"/>
    <w:rsid w:val="00064843"/>
    <w:rsid w:val="00065067"/>
    <w:rsid w:val="0006570A"/>
    <w:rsid w:val="0006612B"/>
    <w:rsid w:val="000665F9"/>
    <w:rsid w:val="000671D5"/>
    <w:rsid w:val="00067320"/>
    <w:rsid w:val="00067639"/>
    <w:rsid w:val="0006776B"/>
    <w:rsid w:val="000677BF"/>
    <w:rsid w:val="0006787C"/>
    <w:rsid w:val="00067AB7"/>
    <w:rsid w:val="00067B35"/>
    <w:rsid w:val="00067C8C"/>
    <w:rsid w:val="0007053C"/>
    <w:rsid w:val="0007067D"/>
    <w:rsid w:val="00070D1A"/>
    <w:rsid w:val="00070F2D"/>
    <w:rsid w:val="00070F55"/>
    <w:rsid w:val="00071700"/>
    <w:rsid w:val="00071C9F"/>
    <w:rsid w:val="00071D47"/>
    <w:rsid w:val="00071FB9"/>
    <w:rsid w:val="0007231B"/>
    <w:rsid w:val="00072722"/>
    <w:rsid w:val="000729A9"/>
    <w:rsid w:val="00073A2F"/>
    <w:rsid w:val="00073AD2"/>
    <w:rsid w:val="00073F3A"/>
    <w:rsid w:val="00074389"/>
    <w:rsid w:val="000750B2"/>
    <w:rsid w:val="000754AD"/>
    <w:rsid w:val="00075EED"/>
    <w:rsid w:val="00076026"/>
    <w:rsid w:val="00076239"/>
    <w:rsid w:val="000768F3"/>
    <w:rsid w:val="000807D8"/>
    <w:rsid w:val="00080DB9"/>
    <w:rsid w:val="00080F33"/>
    <w:rsid w:val="00081747"/>
    <w:rsid w:val="0008177C"/>
    <w:rsid w:val="00081A76"/>
    <w:rsid w:val="00081AE7"/>
    <w:rsid w:val="00081CD6"/>
    <w:rsid w:val="00081EC8"/>
    <w:rsid w:val="00082362"/>
    <w:rsid w:val="00082537"/>
    <w:rsid w:val="00082558"/>
    <w:rsid w:val="00082686"/>
    <w:rsid w:val="00082ABC"/>
    <w:rsid w:val="00083321"/>
    <w:rsid w:val="0008394A"/>
    <w:rsid w:val="00083CE2"/>
    <w:rsid w:val="00083EFC"/>
    <w:rsid w:val="00084333"/>
    <w:rsid w:val="00084C24"/>
    <w:rsid w:val="00084FD5"/>
    <w:rsid w:val="000852BC"/>
    <w:rsid w:val="00085305"/>
    <w:rsid w:val="00085393"/>
    <w:rsid w:val="00085617"/>
    <w:rsid w:val="00086675"/>
    <w:rsid w:val="000871E2"/>
    <w:rsid w:val="00087318"/>
    <w:rsid w:val="000877A3"/>
    <w:rsid w:val="00087CA7"/>
    <w:rsid w:val="0009069F"/>
    <w:rsid w:val="00090813"/>
    <w:rsid w:val="00090943"/>
    <w:rsid w:val="00090CBF"/>
    <w:rsid w:val="00090D3E"/>
    <w:rsid w:val="00090DD9"/>
    <w:rsid w:val="00091FBB"/>
    <w:rsid w:val="0009247B"/>
    <w:rsid w:val="0009342B"/>
    <w:rsid w:val="00093618"/>
    <w:rsid w:val="0009431D"/>
    <w:rsid w:val="000947CD"/>
    <w:rsid w:val="0009502F"/>
    <w:rsid w:val="00095C44"/>
    <w:rsid w:val="00095C4A"/>
    <w:rsid w:val="00095D60"/>
    <w:rsid w:val="000961CC"/>
    <w:rsid w:val="000962AB"/>
    <w:rsid w:val="0009648F"/>
    <w:rsid w:val="00096E29"/>
    <w:rsid w:val="00096F93"/>
    <w:rsid w:val="000973F0"/>
    <w:rsid w:val="0009785A"/>
    <w:rsid w:val="00097ADD"/>
    <w:rsid w:val="00097E70"/>
    <w:rsid w:val="000A07AB"/>
    <w:rsid w:val="000A0F79"/>
    <w:rsid w:val="000A1032"/>
    <w:rsid w:val="000A1777"/>
    <w:rsid w:val="000A1830"/>
    <w:rsid w:val="000A183E"/>
    <w:rsid w:val="000A2E3E"/>
    <w:rsid w:val="000A2EB4"/>
    <w:rsid w:val="000A331C"/>
    <w:rsid w:val="000A34BC"/>
    <w:rsid w:val="000A354B"/>
    <w:rsid w:val="000A3A6F"/>
    <w:rsid w:val="000A4900"/>
    <w:rsid w:val="000A4A0D"/>
    <w:rsid w:val="000A5631"/>
    <w:rsid w:val="000A5994"/>
    <w:rsid w:val="000A6577"/>
    <w:rsid w:val="000A68B0"/>
    <w:rsid w:val="000A6C44"/>
    <w:rsid w:val="000A72A3"/>
    <w:rsid w:val="000A75F8"/>
    <w:rsid w:val="000A76E4"/>
    <w:rsid w:val="000A787D"/>
    <w:rsid w:val="000A7DA1"/>
    <w:rsid w:val="000A7DDA"/>
    <w:rsid w:val="000B01BB"/>
    <w:rsid w:val="000B0877"/>
    <w:rsid w:val="000B12A5"/>
    <w:rsid w:val="000B15DD"/>
    <w:rsid w:val="000B167A"/>
    <w:rsid w:val="000B24B3"/>
    <w:rsid w:val="000B24EC"/>
    <w:rsid w:val="000B4355"/>
    <w:rsid w:val="000B442F"/>
    <w:rsid w:val="000B465F"/>
    <w:rsid w:val="000B49FA"/>
    <w:rsid w:val="000B4F28"/>
    <w:rsid w:val="000B52F5"/>
    <w:rsid w:val="000B5590"/>
    <w:rsid w:val="000B5A6B"/>
    <w:rsid w:val="000B6245"/>
    <w:rsid w:val="000B79F5"/>
    <w:rsid w:val="000C0148"/>
    <w:rsid w:val="000C027B"/>
    <w:rsid w:val="000C04DF"/>
    <w:rsid w:val="000C2AC8"/>
    <w:rsid w:val="000C380B"/>
    <w:rsid w:val="000C41FF"/>
    <w:rsid w:val="000C4388"/>
    <w:rsid w:val="000C4E78"/>
    <w:rsid w:val="000C5114"/>
    <w:rsid w:val="000C5A51"/>
    <w:rsid w:val="000C670B"/>
    <w:rsid w:val="000C788E"/>
    <w:rsid w:val="000C7D0E"/>
    <w:rsid w:val="000D0074"/>
    <w:rsid w:val="000D02F5"/>
    <w:rsid w:val="000D0611"/>
    <w:rsid w:val="000D08FE"/>
    <w:rsid w:val="000D12D2"/>
    <w:rsid w:val="000D2686"/>
    <w:rsid w:val="000D2A3E"/>
    <w:rsid w:val="000D2B08"/>
    <w:rsid w:val="000D3413"/>
    <w:rsid w:val="000D34FF"/>
    <w:rsid w:val="000D3FEC"/>
    <w:rsid w:val="000D4EE1"/>
    <w:rsid w:val="000D4F5A"/>
    <w:rsid w:val="000D515A"/>
    <w:rsid w:val="000D5C41"/>
    <w:rsid w:val="000D6391"/>
    <w:rsid w:val="000D6D80"/>
    <w:rsid w:val="000D702F"/>
    <w:rsid w:val="000D7093"/>
    <w:rsid w:val="000D73D2"/>
    <w:rsid w:val="000D7433"/>
    <w:rsid w:val="000D7623"/>
    <w:rsid w:val="000D7CDE"/>
    <w:rsid w:val="000E0D9B"/>
    <w:rsid w:val="000E1A23"/>
    <w:rsid w:val="000E1B2E"/>
    <w:rsid w:val="000E2405"/>
    <w:rsid w:val="000E2479"/>
    <w:rsid w:val="000E297F"/>
    <w:rsid w:val="000E3461"/>
    <w:rsid w:val="000E430D"/>
    <w:rsid w:val="000E44E9"/>
    <w:rsid w:val="000E4550"/>
    <w:rsid w:val="000E4B2E"/>
    <w:rsid w:val="000E5F24"/>
    <w:rsid w:val="000E5F98"/>
    <w:rsid w:val="000E69E4"/>
    <w:rsid w:val="000E6E53"/>
    <w:rsid w:val="000E7458"/>
    <w:rsid w:val="000E7507"/>
    <w:rsid w:val="000E7FA4"/>
    <w:rsid w:val="000F08A8"/>
    <w:rsid w:val="000F106D"/>
    <w:rsid w:val="000F1A0C"/>
    <w:rsid w:val="000F1D01"/>
    <w:rsid w:val="000F1EE5"/>
    <w:rsid w:val="000F21D7"/>
    <w:rsid w:val="000F267A"/>
    <w:rsid w:val="000F267C"/>
    <w:rsid w:val="000F2F17"/>
    <w:rsid w:val="000F33EA"/>
    <w:rsid w:val="000F38D6"/>
    <w:rsid w:val="000F3954"/>
    <w:rsid w:val="000F3BE9"/>
    <w:rsid w:val="000F3F8E"/>
    <w:rsid w:val="000F3FB5"/>
    <w:rsid w:val="000F4458"/>
    <w:rsid w:val="000F467E"/>
    <w:rsid w:val="000F529E"/>
    <w:rsid w:val="000F5F6F"/>
    <w:rsid w:val="000F6215"/>
    <w:rsid w:val="000F6639"/>
    <w:rsid w:val="000F749E"/>
    <w:rsid w:val="000F7AC8"/>
    <w:rsid w:val="000F7BA7"/>
    <w:rsid w:val="000F7EAD"/>
    <w:rsid w:val="0010009B"/>
    <w:rsid w:val="00100EF5"/>
    <w:rsid w:val="00101869"/>
    <w:rsid w:val="00101B02"/>
    <w:rsid w:val="00101B63"/>
    <w:rsid w:val="0010214B"/>
    <w:rsid w:val="001022E4"/>
    <w:rsid w:val="001027EC"/>
    <w:rsid w:val="00102F07"/>
    <w:rsid w:val="00103159"/>
    <w:rsid w:val="00103B42"/>
    <w:rsid w:val="00104B60"/>
    <w:rsid w:val="00104DBC"/>
    <w:rsid w:val="00105401"/>
    <w:rsid w:val="001054F3"/>
    <w:rsid w:val="00106155"/>
    <w:rsid w:val="001062D9"/>
    <w:rsid w:val="00106F87"/>
    <w:rsid w:val="001070A1"/>
    <w:rsid w:val="0010730E"/>
    <w:rsid w:val="00107405"/>
    <w:rsid w:val="00110C16"/>
    <w:rsid w:val="001111B5"/>
    <w:rsid w:val="001128FD"/>
    <w:rsid w:val="00112B04"/>
    <w:rsid w:val="00112B8F"/>
    <w:rsid w:val="00113684"/>
    <w:rsid w:val="0011430E"/>
    <w:rsid w:val="00114411"/>
    <w:rsid w:val="00114DE6"/>
    <w:rsid w:val="001154F9"/>
    <w:rsid w:val="0011588B"/>
    <w:rsid w:val="00115A19"/>
    <w:rsid w:val="00115B8C"/>
    <w:rsid w:val="00115C1C"/>
    <w:rsid w:val="00116410"/>
    <w:rsid w:val="001167C9"/>
    <w:rsid w:val="00116C15"/>
    <w:rsid w:val="00116F77"/>
    <w:rsid w:val="00116FF1"/>
    <w:rsid w:val="001172F0"/>
    <w:rsid w:val="001177A7"/>
    <w:rsid w:val="00117A35"/>
    <w:rsid w:val="00117AE4"/>
    <w:rsid w:val="00120D6E"/>
    <w:rsid w:val="00121167"/>
    <w:rsid w:val="001214C8"/>
    <w:rsid w:val="00122A96"/>
    <w:rsid w:val="00122BA9"/>
    <w:rsid w:val="00123C78"/>
    <w:rsid w:val="00124B46"/>
    <w:rsid w:val="00124C96"/>
    <w:rsid w:val="00124EDF"/>
    <w:rsid w:val="0012523F"/>
    <w:rsid w:val="001257A4"/>
    <w:rsid w:val="0012586B"/>
    <w:rsid w:val="00125950"/>
    <w:rsid w:val="0012675C"/>
    <w:rsid w:val="0012720E"/>
    <w:rsid w:val="00130C23"/>
    <w:rsid w:val="00130D2A"/>
    <w:rsid w:val="0013158D"/>
    <w:rsid w:val="001316A6"/>
    <w:rsid w:val="001318A0"/>
    <w:rsid w:val="00132151"/>
    <w:rsid w:val="0013255C"/>
    <w:rsid w:val="001327B1"/>
    <w:rsid w:val="001339F3"/>
    <w:rsid w:val="00133DB8"/>
    <w:rsid w:val="0013435D"/>
    <w:rsid w:val="0013497F"/>
    <w:rsid w:val="0013597F"/>
    <w:rsid w:val="00135A49"/>
    <w:rsid w:val="00135FF9"/>
    <w:rsid w:val="00136186"/>
    <w:rsid w:val="00136635"/>
    <w:rsid w:val="00136904"/>
    <w:rsid w:val="00136F47"/>
    <w:rsid w:val="00137AE2"/>
    <w:rsid w:val="00137E96"/>
    <w:rsid w:val="00137F98"/>
    <w:rsid w:val="00141DE7"/>
    <w:rsid w:val="00141E3D"/>
    <w:rsid w:val="00141F59"/>
    <w:rsid w:val="00142149"/>
    <w:rsid w:val="00142B1B"/>
    <w:rsid w:val="00142D47"/>
    <w:rsid w:val="00142F80"/>
    <w:rsid w:val="00143123"/>
    <w:rsid w:val="001450D0"/>
    <w:rsid w:val="00145243"/>
    <w:rsid w:val="001454C1"/>
    <w:rsid w:val="00145C9E"/>
    <w:rsid w:val="0014602D"/>
    <w:rsid w:val="00146059"/>
    <w:rsid w:val="001463DB"/>
    <w:rsid w:val="00146A2F"/>
    <w:rsid w:val="00146CD9"/>
    <w:rsid w:val="001477FE"/>
    <w:rsid w:val="00150496"/>
    <w:rsid w:val="00150533"/>
    <w:rsid w:val="001508A5"/>
    <w:rsid w:val="00150F01"/>
    <w:rsid w:val="0015183E"/>
    <w:rsid w:val="00151BC4"/>
    <w:rsid w:val="00151D17"/>
    <w:rsid w:val="00152645"/>
    <w:rsid w:val="00152B3C"/>
    <w:rsid w:val="00152FC2"/>
    <w:rsid w:val="00153851"/>
    <w:rsid w:val="00153A4F"/>
    <w:rsid w:val="00153AA2"/>
    <w:rsid w:val="00153BC2"/>
    <w:rsid w:val="00153D81"/>
    <w:rsid w:val="00154260"/>
    <w:rsid w:val="00154308"/>
    <w:rsid w:val="00155258"/>
    <w:rsid w:val="001554C0"/>
    <w:rsid w:val="001556A9"/>
    <w:rsid w:val="001559DA"/>
    <w:rsid w:val="00155BF7"/>
    <w:rsid w:val="00156032"/>
    <w:rsid w:val="0015753B"/>
    <w:rsid w:val="00160A7D"/>
    <w:rsid w:val="00161041"/>
    <w:rsid w:val="0016166B"/>
    <w:rsid w:val="001619A1"/>
    <w:rsid w:val="0016211F"/>
    <w:rsid w:val="00162CCB"/>
    <w:rsid w:val="001637DA"/>
    <w:rsid w:val="00163AA2"/>
    <w:rsid w:val="001640E1"/>
    <w:rsid w:val="001648F9"/>
    <w:rsid w:val="0016532F"/>
    <w:rsid w:val="00165ABB"/>
    <w:rsid w:val="00165B3C"/>
    <w:rsid w:val="00166764"/>
    <w:rsid w:val="00166E6C"/>
    <w:rsid w:val="00167253"/>
    <w:rsid w:val="00167DC1"/>
    <w:rsid w:val="00170206"/>
    <w:rsid w:val="00170287"/>
    <w:rsid w:val="0017091D"/>
    <w:rsid w:val="00171B90"/>
    <w:rsid w:val="00171EB1"/>
    <w:rsid w:val="00172660"/>
    <w:rsid w:val="0017269F"/>
    <w:rsid w:val="00172738"/>
    <w:rsid w:val="001728EC"/>
    <w:rsid w:val="00172947"/>
    <w:rsid w:val="00172B6E"/>
    <w:rsid w:val="00172D62"/>
    <w:rsid w:val="0017354A"/>
    <w:rsid w:val="00173971"/>
    <w:rsid w:val="00173A52"/>
    <w:rsid w:val="00173FE5"/>
    <w:rsid w:val="00174344"/>
    <w:rsid w:val="001748D3"/>
    <w:rsid w:val="00174B5E"/>
    <w:rsid w:val="00175D6C"/>
    <w:rsid w:val="00175EEB"/>
    <w:rsid w:val="001763A5"/>
    <w:rsid w:val="0017658C"/>
    <w:rsid w:val="00176733"/>
    <w:rsid w:val="00176886"/>
    <w:rsid w:val="001768E7"/>
    <w:rsid w:val="0017747D"/>
    <w:rsid w:val="0017759A"/>
    <w:rsid w:val="00180340"/>
    <w:rsid w:val="00180DA8"/>
    <w:rsid w:val="0018181E"/>
    <w:rsid w:val="00181B5F"/>
    <w:rsid w:val="00181D92"/>
    <w:rsid w:val="00182CE3"/>
    <w:rsid w:val="0018338A"/>
    <w:rsid w:val="00183A46"/>
    <w:rsid w:val="00184161"/>
    <w:rsid w:val="001843C8"/>
    <w:rsid w:val="00184E1F"/>
    <w:rsid w:val="00184FBC"/>
    <w:rsid w:val="00185543"/>
    <w:rsid w:val="001868AD"/>
    <w:rsid w:val="0019093A"/>
    <w:rsid w:val="001909AF"/>
    <w:rsid w:val="00190A42"/>
    <w:rsid w:val="00191892"/>
    <w:rsid w:val="00191926"/>
    <w:rsid w:val="0019414B"/>
    <w:rsid w:val="001945BF"/>
    <w:rsid w:val="00194A31"/>
    <w:rsid w:val="00194D91"/>
    <w:rsid w:val="0019502C"/>
    <w:rsid w:val="001952DF"/>
    <w:rsid w:val="001958D5"/>
    <w:rsid w:val="0019596E"/>
    <w:rsid w:val="00195AE6"/>
    <w:rsid w:val="001964F4"/>
    <w:rsid w:val="00196582"/>
    <w:rsid w:val="00196605"/>
    <w:rsid w:val="001967F5"/>
    <w:rsid w:val="00196877"/>
    <w:rsid w:val="00196A09"/>
    <w:rsid w:val="00196F80"/>
    <w:rsid w:val="0019715C"/>
    <w:rsid w:val="00197CEC"/>
    <w:rsid w:val="001A021E"/>
    <w:rsid w:val="001A03E0"/>
    <w:rsid w:val="001A04CC"/>
    <w:rsid w:val="001A0C08"/>
    <w:rsid w:val="001A0DB4"/>
    <w:rsid w:val="001A1A7C"/>
    <w:rsid w:val="001A1BE9"/>
    <w:rsid w:val="001A213C"/>
    <w:rsid w:val="001A2980"/>
    <w:rsid w:val="001A3288"/>
    <w:rsid w:val="001A329A"/>
    <w:rsid w:val="001A3604"/>
    <w:rsid w:val="001A43B2"/>
    <w:rsid w:val="001A4C9F"/>
    <w:rsid w:val="001A4D66"/>
    <w:rsid w:val="001A5328"/>
    <w:rsid w:val="001A60E8"/>
    <w:rsid w:val="001A631C"/>
    <w:rsid w:val="001A663D"/>
    <w:rsid w:val="001A7052"/>
    <w:rsid w:val="001A726D"/>
    <w:rsid w:val="001A79A7"/>
    <w:rsid w:val="001A7D11"/>
    <w:rsid w:val="001B001A"/>
    <w:rsid w:val="001B0299"/>
    <w:rsid w:val="001B075A"/>
    <w:rsid w:val="001B0CCD"/>
    <w:rsid w:val="001B0EF3"/>
    <w:rsid w:val="001B144D"/>
    <w:rsid w:val="001B17BA"/>
    <w:rsid w:val="001B2984"/>
    <w:rsid w:val="001B2E6A"/>
    <w:rsid w:val="001B33D4"/>
    <w:rsid w:val="001B3734"/>
    <w:rsid w:val="001B3965"/>
    <w:rsid w:val="001B3AE0"/>
    <w:rsid w:val="001B3C13"/>
    <w:rsid w:val="001B42C5"/>
    <w:rsid w:val="001B43E3"/>
    <w:rsid w:val="001B4988"/>
    <w:rsid w:val="001B4E43"/>
    <w:rsid w:val="001B5577"/>
    <w:rsid w:val="001B5BEE"/>
    <w:rsid w:val="001B5F4B"/>
    <w:rsid w:val="001B63BC"/>
    <w:rsid w:val="001B6F38"/>
    <w:rsid w:val="001B770C"/>
    <w:rsid w:val="001B774B"/>
    <w:rsid w:val="001B7E34"/>
    <w:rsid w:val="001C030B"/>
    <w:rsid w:val="001C0639"/>
    <w:rsid w:val="001C0AA5"/>
    <w:rsid w:val="001C0AAF"/>
    <w:rsid w:val="001C0E53"/>
    <w:rsid w:val="001C1869"/>
    <w:rsid w:val="001C2030"/>
    <w:rsid w:val="001C21E6"/>
    <w:rsid w:val="001C2857"/>
    <w:rsid w:val="001C2E1F"/>
    <w:rsid w:val="001C2EE5"/>
    <w:rsid w:val="001C395F"/>
    <w:rsid w:val="001C3D82"/>
    <w:rsid w:val="001C4139"/>
    <w:rsid w:val="001C4412"/>
    <w:rsid w:val="001C49DB"/>
    <w:rsid w:val="001C5037"/>
    <w:rsid w:val="001C52CF"/>
    <w:rsid w:val="001C5776"/>
    <w:rsid w:val="001C583D"/>
    <w:rsid w:val="001C5B2B"/>
    <w:rsid w:val="001C5B72"/>
    <w:rsid w:val="001C5CA3"/>
    <w:rsid w:val="001C6729"/>
    <w:rsid w:val="001C67D7"/>
    <w:rsid w:val="001C6C8A"/>
    <w:rsid w:val="001C79D2"/>
    <w:rsid w:val="001C79E6"/>
    <w:rsid w:val="001C7AE0"/>
    <w:rsid w:val="001C7C9C"/>
    <w:rsid w:val="001C7FB6"/>
    <w:rsid w:val="001D047E"/>
    <w:rsid w:val="001D06F7"/>
    <w:rsid w:val="001D1232"/>
    <w:rsid w:val="001D12F4"/>
    <w:rsid w:val="001D15A3"/>
    <w:rsid w:val="001D164B"/>
    <w:rsid w:val="001D1BC5"/>
    <w:rsid w:val="001D1C70"/>
    <w:rsid w:val="001D2921"/>
    <w:rsid w:val="001D3828"/>
    <w:rsid w:val="001D3AEE"/>
    <w:rsid w:val="001D3B15"/>
    <w:rsid w:val="001D3BBB"/>
    <w:rsid w:val="001D3C8A"/>
    <w:rsid w:val="001D3E6A"/>
    <w:rsid w:val="001D3EB0"/>
    <w:rsid w:val="001D3FFC"/>
    <w:rsid w:val="001D4063"/>
    <w:rsid w:val="001D41B7"/>
    <w:rsid w:val="001D4378"/>
    <w:rsid w:val="001D468B"/>
    <w:rsid w:val="001D481C"/>
    <w:rsid w:val="001D49C6"/>
    <w:rsid w:val="001D4CE6"/>
    <w:rsid w:val="001D556C"/>
    <w:rsid w:val="001D5D32"/>
    <w:rsid w:val="001D5DD4"/>
    <w:rsid w:val="001D5EB8"/>
    <w:rsid w:val="001D5FDB"/>
    <w:rsid w:val="001D6286"/>
    <w:rsid w:val="001D640C"/>
    <w:rsid w:val="001D6650"/>
    <w:rsid w:val="001D6A15"/>
    <w:rsid w:val="001D711F"/>
    <w:rsid w:val="001D7C33"/>
    <w:rsid w:val="001D7F44"/>
    <w:rsid w:val="001E028B"/>
    <w:rsid w:val="001E0439"/>
    <w:rsid w:val="001E0783"/>
    <w:rsid w:val="001E092C"/>
    <w:rsid w:val="001E136E"/>
    <w:rsid w:val="001E1899"/>
    <w:rsid w:val="001E1C2A"/>
    <w:rsid w:val="001E2047"/>
    <w:rsid w:val="001E28A9"/>
    <w:rsid w:val="001E2C11"/>
    <w:rsid w:val="001E44E1"/>
    <w:rsid w:val="001E4E9F"/>
    <w:rsid w:val="001E51CB"/>
    <w:rsid w:val="001E52C9"/>
    <w:rsid w:val="001E534E"/>
    <w:rsid w:val="001E5420"/>
    <w:rsid w:val="001E5B29"/>
    <w:rsid w:val="001E6AF6"/>
    <w:rsid w:val="001E6D1F"/>
    <w:rsid w:val="001E7130"/>
    <w:rsid w:val="001E7428"/>
    <w:rsid w:val="001E7D94"/>
    <w:rsid w:val="001E7F92"/>
    <w:rsid w:val="001F005F"/>
    <w:rsid w:val="001F08D4"/>
    <w:rsid w:val="001F0A51"/>
    <w:rsid w:val="001F0FFA"/>
    <w:rsid w:val="001F1165"/>
    <w:rsid w:val="001F1265"/>
    <w:rsid w:val="001F268D"/>
    <w:rsid w:val="001F2A3E"/>
    <w:rsid w:val="001F3652"/>
    <w:rsid w:val="001F45EE"/>
    <w:rsid w:val="001F5347"/>
    <w:rsid w:val="001F577F"/>
    <w:rsid w:val="001F59C2"/>
    <w:rsid w:val="001F5A6F"/>
    <w:rsid w:val="001F5E6F"/>
    <w:rsid w:val="001F67D5"/>
    <w:rsid w:val="001F7C67"/>
    <w:rsid w:val="002001A6"/>
    <w:rsid w:val="002002DD"/>
    <w:rsid w:val="00200906"/>
    <w:rsid w:val="00200FD4"/>
    <w:rsid w:val="00201220"/>
    <w:rsid w:val="002013B1"/>
    <w:rsid w:val="00201718"/>
    <w:rsid w:val="002017FE"/>
    <w:rsid w:val="00203980"/>
    <w:rsid w:val="00203AC4"/>
    <w:rsid w:val="00203F16"/>
    <w:rsid w:val="0020410B"/>
    <w:rsid w:val="00205968"/>
    <w:rsid w:val="00205ACD"/>
    <w:rsid w:val="00205BB3"/>
    <w:rsid w:val="002060E1"/>
    <w:rsid w:val="002061E5"/>
    <w:rsid w:val="00206224"/>
    <w:rsid w:val="00206C40"/>
    <w:rsid w:val="00207123"/>
    <w:rsid w:val="00207CF1"/>
    <w:rsid w:val="00207F66"/>
    <w:rsid w:val="00210237"/>
    <w:rsid w:val="00210421"/>
    <w:rsid w:val="00210CE9"/>
    <w:rsid w:val="0021159F"/>
    <w:rsid w:val="002116FC"/>
    <w:rsid w:val="0021195A"/>
    <w:rsid w:val="002123BF"/>
    <w:rsid w:val="002125E8"/>
    <w:rsid w:val="00213237"/>
    <w:rsid w:val="0021372B"/>
    <w:rsid w:val="002146E7"/>
    <w:rsid w:val="00214ACD"/>
    <w:rsid w:val="00214C65"/>
    <w:rsid w:val="002156CC"/>
    <w:rsid w:val="00216343"/>
    <w:rsid w:val="00216718"/>
    <w:rsid w:val="00216A62"/>
    <w:rsid w:val="00216FD7"/>
    <w:rsid w:val="002171DE"/>
    <w:rsid w:val="00217A98"/>
    <w:rsid w:val="00217B5B"/>
    <w:rsid w:val="00217F19"/>
    <w:rsid w:val="002202E8"/>
    <w:rsid w:val="002204EB"/>
    <w:rsid w:val="002205A9"/>
    <w:rsid w:val="00220C43"/>
    <w:rsid w:val="00220DB8"/>
    <w:rsid w:val="00220F38"/>
    <w:rsid w:val="00220F4B"/>
    <w:rsid w:val="0022321B"/>
    <w:rsid w:val="00223342"/>
    <w:rsid w:val="002234DB"/>
    <w:rsid w:val="00223E0F"/>
    <w:rsid w:val="002240EF"/>
    <w:rsid w:val="0022452E"/>
    <w:rsid w:val="002251AD"/>
    <w:rsid w:val="00225355"/>
    <w:rsid w:val="00225ADC"/>
    <w:rsid w:val="00225DAE"/>
    <w:rsid w:val="002269B2"/>
    <w:rsid w:val="00226A65"/>
    <w:rsid w:val="00226C81"/>
    <w:rsid w:val="002272CA"/>
    <w:rsid w:val="002278C3"/>
    <w:rsid w:val="00227B8D"/>
    <w:rsid w:val="002305D0"/>
    <w:rsid w:val="00230662"/>
    <w:rsid w:val="002306D4"/>
    <w:rsid w:val="002307B1"/>
    <w:rsid w:val="00230E83"/>
    <w:rsid w:val="002316A9"/>
    <w:rsid w:val="002321B8"/>
    <w:rsid w:val="0023295F"/>
    <w:rsid w:val="00232C84"/>
    <w:rsid w:val="00234620"/>
    <w:rsid w:val="00234CDC"/>
    <w:rsid w:val="0023506E"/>
    <w:rsid w:val="002361C4"/>
    <w:rsid w:val="0023665C"/>
    <w:rsid w:val="00236778"/>
    <w:rsid w:val="00236CDF"/>
    <w:rsid w:val="00236F72"/>
    <w:rsid w:val="00237D2A"/>
    <w:rsid w:val="00237D51"/>
    <w:rsid w:val="0024117F"/>
    <w:rsid w:val="00241309"/>
    <w:rsid w:val="0024197E"/>
    <w:rsid w:val="00241C1E"/>
    <w:rsid w:val="00241C27"/>
    <w:rsid w:val="00241D21"/>
    <w:rsid w:val="0024205E"/>
    <w:rsid w:val="00242D3A"/>
    <w:rsid w:val="00243373"/>
    <w:rsid w:val="00243B96"/>
    <w:rsid w:val="002441A4"/>
    <w:rsid w:val="002448B6"/>
    <w:rsid w:val="00244B8B"/>
    <w:rsid w:val="00244F56"/>
    <w:rsid w:val="00245048"/>
    <w:rsid w:val="0024526C"/>
    <w:rsid w:val="002457D8"/>
    <w:rsid w:val="00245EC5"/>
    <w:rsid w:val="00246112"/>
    <w:rsid w:val="002464E8"/>
    <w:rsid w:val="00246ECD"/>
    <w:rsid w:val="0024727F"/>
    <w:rsid w:val="00247E64"/>
    <w:rsid w:val="00250681"/>
    <w:rsid w:val="0025137B"/>
    <w:rsid w:val="002514C9"/>
    <w:rsid w:val="00251B01"/>
    <w:rsid w:val="00251FFB"/>
    <w:rsid w:val="0025217B"/>
    <w:rsid w:val="00252AFA"/>
    <w:rsid w:val="00253036"/>
    <w:rsid w:val="00254064"/>
    <w:rsid w:val="002542C9"/>
    <w:rsid w:val="002549B9"/>
    <w:rsid w:val="00254EAF"/>
    <w:rsid w:val="00255C03"/>
    <w:rsid w:val="002564CE"/>
    <w:rsid w:val="002568C5"/>
    <w:rsid w:val="00257215"/>
    <w:rsid w:val="0025755D"/>
    <w:rsid w:val="00257975"/>
    <w:rsid w:val="00257B01"/>
    <w:rsid w:val="00257B89"/>
    <w:rsid w:val="002601D5"/>
    <w:rsid w:val="002601F8"/>
    <w:rsid w:val="00260C93"/>
    <w:rsid w:val="00261130"/>
    <w:rsid w:val="00261BB8"/>
    <w:rsid w:val="0026218B"/>
    <w:rsid w:val="00262978"/>
    <w:rsid w:val="002630B2"/>
    <w:rsid w:val="0026363B"/>
    <w:rsid w:val="0026398D"/>
    <w:rsid w:val="00263B45"/>
    <w:rsid w:val="00263B73"/>
    <w:rsid w:val="00263C7F"/>
    <w:rsid w:val="00263E78"/>
    <w:rsid w:val="0026413A"/>
    <w:rsid w:val="00264278"/>
    <w:rsid w:val="0026495F"/>
    <w:rsid w:val="0026496B"/>
    <w:rsid w:val="00264E84"/>
    <w:rsid w:val="002652BA"/>
    <w:rsid w:val="0026541F"/>
    <w:rsid w:val="00265597"/>
    <w:rsid w:val="0026570A"/>
    <w:rsid w:val="002663B1"/>
    <w:rsid w:val="0026696E"/>
    <w:rsid w:val="002672AC"/>
    <w:rsid w:val="00267C69"/>
    <w:rsid w:val="00270075"/>
    <w:rsid w:val="00270578"/>
    <w:rsid w:val="0027067C"/>
    <w:rsid w:val="002708B5"/>
    <w:rsid w:val="002709AC"/>
    <w:rsid w:val="00271422"/>
    <w:rsid w:val="00271732"/>
    <w:rsid w:val="00271E8E"/>
    <w:rsid w:val="00272076"/>
    <w:rsid w:val="00272ABA"/>
    <w:rsid w:val="00272F7A"/>
    <w:rsid w:val="002739F3"/>
    <w:rsid w:val="0027405D"/>
    <w:rsid w:val="00274097"/>
    <w:rsid w:val="0027479A"/>
    <w:rsid w:val="00274FA5"/>
    <w:rsid w:val="00275274"/>
    <w:rsid w:val="00275458"/>
    <w:rsid w:val="00275621"/>
    <w:rsid w:val="00275E9D"/>
    <w:rsid w:val="00276218"/>
    <w:rsid w:val="00276444"/>
    <w:rsid w:val="0027714E"/>
    <w:rsid w:val="00277C48"/>
    <w:rsid w:val="002800F2"/>
    <w:rsid w:val="00280C9B"/>
    <w:rsid w:val="002811FE"/>
    <w:rsid w:val="002812C5"/>
    <w:rsid w:val="00281CF9"/>
    <w:rsid w:val="002823BA"/>
    <w:rsid w:val="00282837"/>
    <w:rsid w:val="002832FC"/>
    <w:rsid w:val="00283995"/>
    <w:rsid w:val="002852E2"/>
    <w:rsid w:val="00285565"/>
    <w:rsid w:val="0028576C"/>
    <w:rsid w:val="00285F41"/>
    <w:rsid w:val="002873F3"/>
    <w:rsid w:val="0028773B"/>
    <w:rsid w:val="0028786B"/>
    <w:rsid w:val="00287BAA"/>
    <w:rsid w:val="00287F13"/>
    <w:rsid w:val="00287FAC"/>
    <w:rsid w:val="002903C7"/>
    <w:rsid w:val="00290447"/>
    <w:rsid w:val="0029115F"/>
    <w:rsid w:val="002912E0"/>
    <w:rsid w:val="00291930"/>
    <w:rsid w:val="00291A63"/>
    <w:rsid w:val="002921FD"/>
    <w:rsid w:val="002923BF"/>
    <w:rsid w:val="00292413"/>
    <w:rsid w:val="002924C4"/>
    <w:rsid w:val="0029320C"/>
    <w:rsid w:val="0029332D"/>
    <w:rsid w:val="002933E7"/>
    <w:rsid w:val="00293C3D"/>
    <w:rsid w:val="00293D65"/>
    <w:rsid w:val="0029477F"/>
    <w:rsid w:val="00295673"/>
    <w:rsid w:val="00295A7C"/>
    <w:rsid w:val="00295E7C"/>
    <w:rsid w:val="002963E1"/>
    <w:rsid w:val="00296886"/>
    <w:rsid w:val="00297A20"/>
    <w:rsid w:val="002A000E"/>
    <w:rsid w:val="002A0084"/>
    <w:rsid w:val="002A0579"/>
    <w:rsid w:val="002A09B6"/>
    <w:rsid w:val="002A0ACC"/>
    <w:rsid w:val="002A0B3E"/>
    <w:rsid w:val="002A142B"/>
    <w:rsid w:val="002A164B"/>
    <w:rsid w:val="002A17FB"/>
    <w:rsid w:val="002A237C"/>
    <w:rsid w:val="002A2410"/>
    <w:rsid w:val="002A2C54"/>
    <w:rsid w:val="002A43AF"/>
    <w:rsid w:val="002A451C"/>
    <w:rsid w:val="002A4C71"/>
    <w:rsid w:val="002A4D9E"/>
    <w:rsid w:val="002A5397"/>
    <w:rsid w:val="002A59D2"/>
    <w:rsid w:val="002A67A1"/>
    <w:rsid w:val="002A79A5"/>
    <w:rsid w:val="002A79EB"/>
    <w:rsid w:val="002A7AF1"/>
    <w:rsid w:val="002B01CD"/>
    <w:rsid w:val="002B06DA"/>
    <w:rsid w:val="002B0E44"/>
    <w:rsid w:val="002B1100"/>
    <w:rsid w:val="002B1221"/>
    <w:rsid w:val="002B14FE"/>
    <w:rsid w:val="002B18C0"/>
    <w:rsid w:val="002B1A92"/>
    <w:rsid w:val="002B1DE1"/>
    <w:rsid w:val="002B2525"/>
    <w:rsid w:val="002B3894"/>
    <w:rsid w:val="002B4034"/>
    <w:rsid w:val="002B4637"/>
    <w:rsid w:val="002B4EE6"/>
    <w:rsid w:val="002B5443"/>
    <w:rsid w:val="002B56C8"/>
    <w:rsid w:val="002B5887"/>
    <w:rsid w:val="002B58FD"/>
    <w:rsid w:val="002B643A"/>
    <w:rsid w:val="002B671D"/>
    <w:rsid w:val="002B6C0E"/>
    <w:rsid w:val="002B6EED"/>
    <w:rsid w:val="002B7204"/>
    <w:rsid w:val="002B78BA"/>
    <w:rsid w:val="002B7AED"/>
    <w:rsid w:val="002C0ABA"/>
    <w:rsid w:val="002C100A"/>
    <w:rsid w:val="002C1A5B"/>
    <w:rsid w:val="002C1C72"/>
    <w:rsid w:val="002C1EF4"/>
    <w:rsid w:val="002C266F"/>
    <w:rsid w:val="002C29DB"/>
    <w:rsid w:val="002C2AE5"/>
    <w:rsid w:val="002C3969"/>
    <w:rsid w:val="002C3BCE"/>
    <w:rsid w:val="002C4010"/>
    <w:rsid w:val="002C4244"/>
    <w:rsid w:val="002C48C9"/>
    <w:rsid w:val="002C4A64"/>
    <w:rsid w:val="002C4C06"/>
    <w:rsid w:val="002C4F0A"/>
    <w:rsid w:val="002C4F5E"/>
    <w:rsid w:val="002C4F69"/>
    <w:rsid w:val="002C5908"/>
    <w:rsid w:val="002C5A17"/>
    <w:rsid w:val="002C5A97"/>
    <w:rsid w:val="002C6948"/>
    <w:rsid w:val="002C73B8"/>
    <w:rsid w:val="002C7B1B"/>
    <w:rsid w:val="002C7B89"/>
    <w:rsid w:val="002D0161"/>
    <w:rsid w:val="002D01D3"/>
    <w:rsid w:val="002D0E7F"/>
    <w:rsid w:val="002D1106"/>
    <w:rsid w:val="002D15D0"/>
    <w:rsid w:val="002D15E1"/>
    <w:rsid w:val="002D2328"/>
    <w:rsid w:val="002D365F"/>
    <w:rsid w:val="002D36E0"/>
    <w:rsid w:val="002D3739"/>
    <w:rsid w:val="002D387B"/>
    <w:rsid w:val="002D4110"/>
    <w:rsid w:val="002D4699"/>
    <w:rsid w:val="002D50FE"/>
    <w:rsid w:val="002D59F0"/>
    <w:rsid w:val="002D61C1"/>
    <w:rsid w:val="002D6795"/>
    <w:rsid w:val="002D67A5"/>
    <w:rsid w:val="002D6877"/>
    <w:rsid w:val="002D6B27"/>
    <w:rsid w:val="002D6C9F"/>
    <w:rsid w:val="002D723D"/>
    <w:rsid w:val="002D7413"/>
    <w:rsid w:val="002D7471"/>
    <w:rsid w:val="002E04A6"/>
    <w:rsid w:val="002E0788"/>
    <w:rsid w:val="002E1182"/>
    <w:rsid w:val="002E1D1F"/>
    <w:rsid w:val="002E2625"/>
    <w:rsid w:val="002E2790"/>
    <w:rsid w:val="002E2D38"/>
    <w:rsid w:val="002E3055"/>
    <w:rsid w:val="002E3977"/>
    <w:rsid w:val="002E3C0A"/>
    <w:rsid w:val="002E3DC8"/>
    <w:rsid w:val="002E40BB"/>
    <w:rsid w:val="002E5252"/>
    <w:rsid w:val="002E58EE"/>
    <w:rsid w:val="002E5D37"/>
    <w:rsid w:val="002E5FAC"/>
    <w:rsid w:val="002E60EB"/>
    <w:rsid w:val="002E64BE"/>
    <w:rsid w:val="002E7380"/>
    <w:rsid w:val="002E7A7C"/>
    <w:rsid w:val="002F019B"/>
    <w:rsid w:val="002F0537"/>
    <w:rsid w:val="002F061D"/>
    <w:rsid w:val="002F0A4A"/>
    <w:rsid w:val="002F0FFA"/>
    <w:rsid w:val="002F1080"/>
    <w:rsid w:val="002F1363"/>
    <w:rsid w:val="002F1662"/>
    <w:rsid w:val="002F1BA6"/>
    <w:rsid w:val="002F204A"/>
    <w:rsid w:val="002F2343"/>
    <w:rsid w:val="002F24B5"/>
    <w:rsid w:val="002F26D0"/>
    <w:rsid w:val="002F27D7"/>
    <w:rsid w:val="002F2B34"/>
    <w:rsid w:val="002F2BC2"/>
    <w:rsid w:val="002F2C69"/>
    <w:rsid w:val="002F34C8"/>
    <w:rsid w:val="002F3B1E"/>
    <w:rsid w:val="002F43AE"/>
    <w:rsid w:val="002F4817"/>
    <w:rsid w:val="002F4853"/>
    <w:rsid w:val="002F4983"/>
    <w:rsid w:val="002F560B"/>
    <w:rsid w:val="002F64DA"/>
    <w:rsid w:val="002F7BBA"/>
    <w:rsid w:val="002F7CD1"/>
    <w:rsid w:val="002F7D55"/>
    <w:rsid w:val="002F7E8E"/>
    <w:rsid w:val="00300839"/>
    <w:rsid w:val="003010F3"/>
    <w:rsid w:val="00301261"/>
    <w:rsid w:val="00301439"/>
    <w:rsid w:val="00301D7E"/>
    <w:rsid w:val="00302506"/>
    <w:rsid w:val="00302867"/>
    <w:rsid w:val="00303155"/>
    <w:rsid w:val="0030423D"/>
    <w:rsid w:val="0030457E"/>
    <w:rsid w:val="00304B0E"/>
    <w:rsid w:val="00304B78"/>
    <w:rsid w:val="00304D1B"/>
    <w:rsid w:val="00304DC6"/>
    <w:rsid w:val="00304FAB"/>
    <w:rsid w:val="00305491"/>
    <w:rsid w:val="003055A6"/>
    <w:rsid w:val="003056C8"/>
    <w:rsid w:val="00305BF6"/>
    <w:rsid w:val="003060F0"/>
    <w:rsid w:val="0030621B"/>
    <w:rsid w:val="0030652E"/>
    <w:rsid w:val="0030681F"/>
    <w:rsid w:val="00306D7B"/>
    <w:rsid w:val="00306E48"/>
    <w:rsid w:val="00307320"/>
    <w:rsid w:val="00307341"/>
    <w:rsid w:val="00307722"/>
    <w:rsid w:val="00307F43"/>
    <w:rsid w:val="00310730"/>
    <w:rsid w:val="0031097F"/>
    <w:rsid w:val="00310DF1"/>
    <w:rsid w:val="00311261"/>
    <w:rsid w:val="003116FA"/>
    <w:rsid w:val="0031192E"/>
    <w:rsid w:val="003120DC"/>
    <w:rsid w:val="00312613"/>
    <w:rsid w:val="0031268E"/>
    <w:rsid w:val="003138FD"/>
    <w:rsid w:val="00314182"/>
    <w:rsid w:val="00314516"/>
    <w:rsid w:val="0031468C"/>
    <w:rsid w:val="00314B8F"/>
    <w:rsid w:val="00315EEE"/>
    <w:rsid w:val="003163F0"/>
    <w:rsid w:val="0031697B"/>
    <w:rsid w:val="00316AC4"/>
    <w:rsid w:val="003173C5"/>
    <w:rsid w:val="00317509"/>
    <w:rsid w:val="00317635"/>
    <w:rsid w:val="003179C3"/>
    <w:rsid w:val="00317EDA"/>
    <w:rsid w:val="00320CF9"/>
    <w:rsid w:val="00320F1E"/>
    <w:rsid w:val="00321725"/>
    <w:rsid w:val="00321B7E"/>
    <w:rsid w:val="003222C9"/>
    <w:rsid w:val="00322882"/>
    <w:rsid w:val="00322BEE"/>
    <w:rsid w:val="00323072"/>
    <w:rsid w:val="003237AD"/>
    <w:rsid w:val="00323D93"/>
    <w:rsid w:val="00323ED2"/>
    <w:rsid w:val="00324256"/>
    <w:rsid w:val="0032450A"/>
    <w:rsid w:val="00325CAE"/>
    <w:rsid w:val="00325EDD"/>
    <w:rsid w:val="003263BA"/>
    <w:rsid w:val="00326697"/>
    <w:rsid w:val="003267D1"/>
    <w:rsid w:val="00326CCC"/>
    <w:rsid w:val="00326F15"/>
    <w:rsid w:val="0032718F"/>
    <w:rsid w:val="003272EF"/>
    <w:rsid w:val="0032760A"/>
    <w:rsid w:val="0032793B"/>
    <w:rsid w:val="00327A68"/>
    <w:rsid w:val="00327E2A"/>
    <w:rsid w:val="00327ED0"/>
    <w:rsid w:val="00327F30"/>
    <w:rsid w:val="003319D5"/>
    <w:rsid w:val="00331AD9"/>
    <w:rsid w:val="0033228B"/>
    <w:rsid w:val="003326D0"/>
    <w:rsid w:val="00332AAF"/>
    <w:rsid w:val="003336FE"/>
    <w:rsid w:val="00334769"/>
    <w:rsid w:val="00334997"/>
    <w:rsid w:val="00334A73"/>
    <w:rsid w:val="00335774"/>
    <w:rsid w:val="00335CA0"/>
    <w:rsid w:val="00335DCE"/>
    <w:rsid w:val="00335E54"/>
    <w:rsid w:val="00336F07"/>
    <w:rsid w:val="00337EDE"/>
    <w:rsid w:val="00340163"/>
    <w:rsid w:val="003401DB"/>
    <w:rsid w:val="00340A97"/>
    <w:rsid w:val="0034151C"/>
    <w:rsid w:val="003418A5"/>
    <w:rsid w:val="00341BEE"/>
    <w:rsid w:val="0034278F"/>
    <w:rsid w:val="003430D9"/>
    <w:rsid w:val="00343A89"/>
    <w:rsid w:val="00343C6A"/>
    <w:rsid w:val="003447EC"/>
    <w:rsid w:val="003449B9"/>
    <w:rsid w:val="003449FB"/>
    <w:rsid w:val="00344F46"/>
    <w:rsid w:val="003453E9"/>
    <w:rsid w:val="00345437"/>
    <w:rsid w:val="00345828"/>
    <w:rsid w:val="003459AB"/>
    <w:rsid w:val="00345B39"/>
    <w:rsid w:val="00345C53"/>
    <w:rsid w:val="003461CF"/>
    <w:rsid w:val="003468DE"/>
    <w:rsid w:val="00346FBA"/>
    <w:rsid w:val="003472A8"/>
    <w:rsid w:val="00350319"/>
    <w:rsid w:val="003512B0"/>
    <w:rsid w:val="00351593"/>
    <w:rsid w:val="00351A49"/>
    <w:rsid w:val="00351BD1"/>
    <w:rsid w:val="003521F1"/>
    <w:rsid w:val="00352427"/>
    <w:rsid w:val="00352EB8"/>
    <w:rsid w:val="0035438D"/>
    <w:rsid w:val="003547C8"/>
    <w:rsid w:val="0035522C"/>
    <w:rsid w:val="003559AC"/>
    <w:rsid w:val="00355D07"/>
    <w:rsid w:val="0035605C"/>
    <w:rsid w:val="00356280"/>
    <w:rsid w:val="003562B6"/>
    <w:rsid w:val="00356897"/>
    <w:rsid w:val="003569B4"/>
    <w:rsid w:val="003570BD"/>
    <w:rsid w:val="0035757D"/>
    <w:rsid w:val="00357A88"/>
    <w:rsid w:val="003603C1"/>
    <w:rsid w:val="00360467"/>
    <w:rsid w:val="003609C0"/>
    <w:rsid w:val="00360EEA"/>
    <w:rsid w:val="00360FD7"/>
    <w:rsid w:val="00361481"/>
    <w:rsid w:val="00361C4E"/>
    <w:rsid w:val="00361DA6"/>
    <w:rsid w:val="00362127"/>
    <w:rsid w:val="00362FE8"/>
    <w:rsid w:val="00363216"/>
    <w:rsid w:val="00363B91"/>
    <w:rsid w:val="003643C8"/>
    <w:rsid w:val="003648E8"/>
    <w:rsid w:val="00364D35"/>
    <w:rsid w:val="00364E47"/>
    <w:rsid w:val="00364ECD"/>
    <w:rsid w:val="0036503B"/>
    <w:rsid w:val="00365286"/>
    <w:rsid w:val="003655B2"/>
    <w:rsid w:val="00365680"/>
    <w:rsid w:val="00365C80"/>
    <w:rsid w:val="00367838"/>
    <w:rsid w:val="003678BE"/>
    <w:rsid w:val="00367976"/>
    <w:rsid w:val="0037050F"/>
    <w:rsid w:val="0037065E"/>
    <w:rsid w:val="00370A5E"/>
    <w:rsid w:val="00371418"/>
    <w:rsid w:val="00371428"/>
    <w:rsid w:val="00371C50"/>
    <w:rsid w:val="00371E62"/>
    <w:rsid w:val="0037282D"/>
    <w:rsid w:val="00372C9F"/>
    <w:rsid w:val="00372D47"/>
    <w:rsid w:val="00372E53"/>
    <w:rsid w:val="00373575"/>
    <w:rsid w:val="00373A37"/>
    <w:rsid w:val="00373B56"/>
    <w:rsid w:val="00373ECE"/>
    <w:rsid w:val="00374512"/>
    <w:rsid w:val="00374654"/>
    <w:rsid w:val="00374872"/>
    <w:rsid w:val="00374A08"/>
    <w:rsid w:val="00375BDE"/>
    <w:rsid w:val="00375C79"/>
    <w:rsid w:val="00375D17"/>
    <w:rsid w:val="00375D3A"/>
    <w:rsid w:val="003765DA"/>
    <w:rsid w:val="00376AE2"/>
    <w:rsid w:val="00377461"/>
    <w:rsid w:val="00377719"/>
    <w:rsid w:val="003808C9"/>
    <w:rsid w:val="00380FD4"/>
    <w:rsid w:val="00381AB8"/>
    <w:rsid w:val="00381B63"/>
    <w:rsid w:val="0038232E"/>
    <w:rsid w:val="00382929"/>
    <w:rsid w:val="00382ADB"/>
    <w:rsid w:val="0038343C"/>
    <w:rsid w:val="003835B9"/>
    <w:rsid w:val="00383915"/>
    <w:rsid w:val="00383959"/>
    <w:rsid w:val="0038395F"/>
    <w:rsid w:val="00383D4C"/>
    <w:rsid w:val="00383DD8"/>
    <w:rsid w:val="00384555"/>
    <w:rsid w:val="00384D58"/>
    <w:rsid w:val="00385954"/>
    <w:rsid w:val="0038620E"/>
    <w:rsid w:val="00386728"/>
    <w:rsid w:val="00386C95"/>
    <w:rsid w:val="00386D60"/>
    <w:rsid w:val="00387470"/>
    <w:rsid w:val="003875EC"/>
    <w:rsid w:val="0038781A"/>
    <w:rsid w:val="00387F04"/>
    <w:rsid w:val="00390329"/>
    <w:rsid w:val="0039087C"/>
    <w:rsid w:val="003916A4"/>
    <w:rsid w:val="00391C77"/>
    <w:rsid w:val="00392D3B"/>
    <w:rsid w:val="003932C2"/>
    <w:rsid w:val="00393497"/>
    <w:rsid w:val="0039389D"/>
    <w:rsid w:val="00394437"/>
    <w:rsid w:val="00394474"/>
    <w:rsid w:val="00394B4E"/>
    <w:rsid w:val="00394D6C"/>
    <w:rsid w:val="00394E9C"/>
    <w:rsid w:val="0039528A"/>
    <w:rsid w:val="0039585B"/>
    <w:rsid w:val="00395DCA"/>
    <w:rsid w:val="00396170"/>
    <w:rsid w:val="003961C7"/>
    <w:rsid w:val="0039656B"/>
    <w:rsid w:val="003965D0"/>
    <w:rsid w:val="00396C6E"/>
    <w:rsid w:val="00397A7F"/>
    <w:rsid w:val="003A03EE"/>
    <w:rsid w:val="003A0811"/>
    <w:rsid w:val="003A0E5E"/>
    <w:rsid w:val="003A0F21"/>
    <w:rsid w:val="003A17E2"/>
    <w:rsid w:val="003A1AFC"/>
    <w:rsid w:val="003A1C0E"/>
    <w:rsid w:val="003A1FDA"/>
    <w:rsid w:val="003A21A1"/>
    <w:rsid w:val="003A21C1"/>
    <w:rsid w:val="003A22A8"/>
    <w:rsid w:val="003A2982"/>
    <w:rsid w:val="003A33E5"/>
    <w:rsid w:val="003A3D24"/>
    <w:rsid w:val="003A3F56"/>
    <w:rsid w:val="003A43BC"/>
    <w:rsid w:val="003A4920"/>
    <w:rsid w:val="003A4D44"/>
    <w:rsid w:val="003A4E49"/>
    <w:rsid w:val="003A4F53"/>
    <w:rsid w:val="003A5134"/>
    <w:rsid w:val="003A5735"/>
    <w:rsid w:val="003A582A"/>
    <w:rsid w:val="003A5C34"/>
    <w:rsid w:val="003A5C64"/>
    <w:rsid w:val="003A5FE3"/>
    <w:rsid w:val="003A60AE"/>
    <w:rsid w:val="003A6D5C"/>
    <w:rsid w:val="003A72FB"/>
    <w:rsid w:val="003A7FDA"/>
    <w:rsid w:val="003B018B"/>
    <w:rsid w:val="003B04B7"/>
    <w:rsid w:val="003B0531"/>
    <w:rsid w:val="003B1080"/>
    <w:rsid w:val="003B17B4"/>
    <w:rsid w:val="003B214A"/>
    <w:rsid w:val="003B27A3"/>
    <w:rsid w:val="003B280E"/>
    <w:rsid w:val="003B2CE6"/>
    <w:rsid w:val="003B3208"/>
    <w:rsid w:val="003B34E4"/>
    <w:rsid w:val="003B3D59"/>
    <w:rsid w:val="003B473C"/>
    <w:rsid w:val="003B4B5A"/>
    <w:rsid w:val="003B5F52"/>
    <w:rsid w:val="003B61B2"/>
    <w:rsid w:val="003B63EF"/>
    <w:rsid w:val="003B6C8E"/>
    <w:rsid w:val="003B6FF1"/>
    <w:rsid w:val="003B7234"/>
    <w:rsid w:val="003B726E"/>
    <w:rsid w:val="003B72A8"/>
    <w:rsid w:val="003B74E5"/>
    <w:rsid w:val="003B771D"/>
    <w:rsid w:val="003C025E"/>
    <w:rsid w:val="003C09C4"/>
    <w:rsid w:val="003C1191"/>
    <w:rsid w:val="003C119A"/>
    <w:rsid w:val="003C12AA"/>
    <w:rsid w:val="003C18FF"/>
    <w:rsid w:val="003C1DF0"/>
    <w:rsid w:val="003C208D"/>
    <w:rsid w:val="003C20FE"/>
    <w:rsid w:val="003C2561"/>
    <w:rsid w:val="003C2814"/>
    <w:rsid w:val="003C28FD"/>
    <w:rsid w:val="003C3D6A"/>
    <w:rsid w:val="003C5679"/>
    <w:rsid w:val="003C5BF3"/>
    <w:rsid w:val="003C5C30"/>
    <w:rsid w:val="003C61F5"/>
    <w:rsid w:val="003C6726"/>
    <w:rsid w:val="003C6888"/>
    <w:rsid w:val="003C6B66"/>
    <w:rsid w:val="003C6BC0"/>
    <w:rsid w:val="003C7127"/>
    <w:rsid w:val="003C7657"/>
    <w:rsid w:val="003C77A9"/>
    <w:rsid w:val="003C78C2"/>
    <w:rsid w:val="003C7B4E"/>
    <w:rsid w:val="003D09B1"/>
    <w:rsid w:val="003D0C59"/>
    <w:rsid w:val="003D0DE4"/>
    <w:rsid w:val="003D1C70"/>
    <w:rsid w:val="003D1E50"/>
    <w:rsid w:val="003D2029"/>
    <w:rsid w:val="003D210B"/>
    <w:rsid w:val="003D2711"/>
    <w:rsid w:val="003D2A56"/>
    <w:rsid w:val="003D2B66"/>
    <w:rsid w:val="003D2D7F"/>
    <w:rsid w:val="003D3477"/>
    <w:rsid w:val="003D3B29"/>
    <w:rsid w:val="003D4A8D"/>
    <w:rsid w:val="003D5A23"/>
    <w:rsid w:val="003D5E5C"/>
    <w:rsid w:val="003D613C"/>
    <w:rsid w:val="003D64DC"/>
    <w:rsid w:val="003D6A83"/>
    <w:rsid w:val="003D6CA2"/>
    <w:rsid w:val="003D7D2D"/>
    <w:rsid w:val="003E1161"/>
    <w:rsid w:val="003E11DF"/>
    <w:rsid w:val="003E19DF"/>
    <w:rsid w:val="003E1FBD"/>
    <w:rsid w:val="003E23FE"/>
    <w:rsid w:val="003E308F"/>
    <w:rsid w:val="003E33DD"/>
    <w:rsid w:val="003E39A2"/>
    <w:rsid w:val="003E3CBB"/>
    <w:rsid w:val="003E470F"/>
    <w:rsid w:val="003E4DCD"/>
    <w:rsid w:val="003E61AB"/>
    <w:rsid w:val="003E6D8A"/>
    <w:rsid w:val="003E70E5"/>
    <w:rsid w:val="003E7E5F"/>
    <w:rsid w:val="003F0248"/>
    <w:rsid w:val="003F11C6"/>
    <w:rsid w:val="003F1B6B"/>
    <w:rsid w:val="003F1C2C"/>
    <w:rsid w:val="003F2304"/>
    <w:rsid w:val="003F2890"/>
    <w:rsid w:val="003F2E97"/>
    <w:rsid w:val="003F3192"/>
    <w:rsid w:val="003F3A6B"/>
    <w:rsid w:val="003F3C32"/>
    <w:rsid w:val="003F3C43"/>
    <w:rsid w:val="003F3F51"/>
    <w:rsid w:val="003F434E"/>
    <w:rsid w:val="003F44F6"/>
    <w:rsid w:val="003F45A9"/>
    <w:rsid w:val="003F4D25"/>
    <w:rsid w:val="003F5622"/>
    <w:rsid w:val="003F5D71"/>
    <w:rsid w:val="003F5FF9"/>
    <w:rsid w:val="003F7266"/>
    <w:rsid w:val="003F7730"/>
    <w:rsid w:val="003F7B6F"/>
    <w:rsid w:val="00400437"/>
    <w:rsid w:val="004006AD"/>
    <w:rsid w:val="004008B2"/>
    <w:rsid w:val="004008DD"/>
    <w:rsid w:val="00400E05"/>
    <w:rsid w:val="00401BBC"/>
    <w:rsid w:val="004021BC"/>
    <w:rsid w:val="00402540"/>
    <w:rsid w:val="00402772"/>
    <w:rsid w:val="00402789"/>
    <w:rsid w:val="004027D2"/>
    <w:rsid w:val="00402DD3"/>
    <w:rsid w:val="004030D3"/>
    <w:rsid w:val="004034E5"/>
    <w:rsid w:val="004038F9"/>
    <w:rsid w:val="00403BF1"/>
    <w:rsid w:val="00403BF4"/>
    <w:rsid w:val="0040412B"/>
    <w:rsid w:val="00404619"/>
    <w:rsid w:val="004046C6"/>
    <w:rsid w:val="00404BD2"/>
    <w:rsid w:val="00404D71"/>
    <w:rsid w:val="00404F4A"/>
    <w:rsid w:val="00404FFA"/>
    <w:rsid w:val="00405C26"/>
    <w:rsid w:val="00405F95"/>
    <w:rsid w:val="0040694A"/>
    <w:rsid w:val="00407151"/>
    <w:rsid w:val="00407391"/>
    <w:rsid w:val="00407755"/>
    <w:rsid w:val="00410F53"/>
    <w:rsid w:val="0041117B"/>
    <w:rsid w:val="004111EF"/>
    <w:rsid w:val="00411538"/>
    <w:rsid w:val="00411B61"/>
    <w:rsid w:val="00411F87"/>
    <w:rsid w:val="00412024"/>
    <w:rsid w:val="00412F9A"/>
    <w:rsid w:val="004134AD"/>
    <w:rsid w:val="0041357F"/>
    <w:rsid w:val="0041360B"/>
    <w:rsid w:val="00414074"/>
    <w:rsid w:val="00414AC3"/>
    <w:rsid w:val="00415B6F"/>
    <w:rsid w:val="00415F48"/>
    <w:rsid w:val="00416997"/>
    <w:rsid w:val="00416DD8"/>
    <w:rsid w:val="00417298"/>
    <w:rsid w:val="00417E88"/>
    <w:rsid w:val="004202F8"/>
    <w:rsid w:val="004208B5"/>
    <w:rsid w:val="00420CAE"/>
    <w:rsid w:val="00420F0F"/>
    <w:rsid w:val="00421416"/>
    <w:rsid w:val="0042164B"/>
    <w:rsid w:val="00421ED1"/>
    <w:rsid w:val="00421F93"/>
    <w:rsid w:val="004225F9"/>
    <w:rsid w:val="00422700"/>
    <w:rsid w:val="0042278A"/>
    <w:rsid w:val="00422BDE"/>
    <w:rsid w:val="00422DF8"/>
    <w:rsid w:val="00423715"/>
    <w:rsid w:val="00423B99"/>
    <w:rsid w:val="00423C0D"/>
    <w:rsid w:val="00424145"/>
    <w:rsid w:val="00424179"/>
    <w:rsid w:val="004253B8"/>
    <w:rsid w:val="004253DE"/>
    <w:rsid w:val="004260E2"/>
    <w:rsid w:val="0042631F"/>
    <w:rsid w:val="0042635B"/>
    <w:rsid w:val="004265BB"/>
    <w:rsid w:val="00427331"/>
    <w:rsid w:val="00427391"/>
    <w:rsid w:val="00427F1E"/>
    <w:rsid w:val="004307E0"/>
    <w:rsid w:val="00430820"/>
    <w:rsid w:val="00430B0E"/>
    <w:rsid w:val="004318BA"/>
    <w:rsid w:val="004324FA"/>
    <w:rsid w:val="004327A1"/>
    <w:rsid w:val="0043315C"/>
    <w:rsid w:val="00433B91"/>
    <w:rsid w:val="00434470"/>
    <w:rsid w:val="004344E6"/>
    <w:rsid w:val="0043477F"/>
    <w:rsid w:val="004353C9"/>
    <w:rsid w:val="00435511"/>
    <w:rsid w:val="00435DF0"/>
    <w:rsid w:val="00435F45"/>
    <w:rsid w:val="00436581"/>
    <w:rsid w:val="00436B9C"/>
    <w:rsid w:val="00436E3C"/>
    <w:rsid w:val="0043725B"/>
    <w:rsid w:val="00437726"/>
    <w:rsid w:val="00437F74"/>
    <w:rsid w:val="00437FD8"/>
    <w:rsid w:val="00440436"/>
    <w:rsid w:val="00440622"/>
    <w:rsid w:val="0044063C"/>
    <w:rsid w:val="00440864"/>
    <w:rsid w:val="004411FC"/>
    <w:rsid w:val="004415FD"/>
    <w:rsid w:val="004421F1"/>
    <w:rsid w:val="004423D0"/>
    <w:rsid w:val="0044277C"/>
    <w:rsid w:val="00442849"/>
    <w:rsid w:val="00442A4A"/>
    <w:rsid w:val="0044368F"/>
    <w:rsid w:val="004437DA"/>
    <w:rsid w:val="00443997"/>
    <w:rsid w:val="00443BC9"/>
    <w:rsid w:val="004440CC"/>
    <w:rsid w:val="0044414E"/>
    <w:rsid w:val="00444337"/>
    <w:rsid w:val="00444B33"/>
    <w:rsid w:val="00444C9A"/>
    <w:rsid w:val="0044534B"/>
    <w:rsid w:val="0044573C"/>
    <w:rsid w:val="0044588C"/>
    <w:rsid w:val="00445ACA"/>
    <w:rsid w:val="00446883"/>
    <w:rsid w:val="00447F07"/>
    <w:rsid w:val="00450B14"/>
    <w:rsid w:val="00451188"/>
    <w:rsid w:val="004511B7"/>
    <w:rsid w:val="0045133B"/>
    <w:rsid w:val="00451979"/>
    <w:rsid w:val="00452310"/>
    <w:rsid w:val="0045268B"/>
    <w:rsid w:val="004528B9"/>
    <w:rsid w:val="00452A66"/>
    <w:rsid w:val="0045352B"/>
    <w:rsid w:val="00453694"/>
    <w:rsid w:val="00453C41"/>
    <w:rsid w:val="00454237"/>
    <w:rsid w:val="004544EA"/>
    <w:rsid w:val="00454C8D"/>
    <w:rsid w:val="00454D79"/>
    <w:rsid w:val="00455023"/>
    <w:rsid w:val="0045510D"/>
    <w:rsid w:val="00455B0E"/>
    <w:rsid w:val="00456C59"/>
    <w:rsid w:val="004570B0"/>
    <w:rsid w:val="00457C9E"/>
    <w:rsid w:val="00461251"/>
    <w:rsid w:val="004613BA"/>
    <w:rsid w:val="00461730"/>
    <w:rsid w:val="004618A0"/>
    <w:rsid w:val="00461E84"/>
    <w:rsid w:val="00462801"/>
    <w:rsid w:val="00462D54"/>
    <w:rsid w:val="00463356"/>
    <w:rsid w:val="00463AE2"/>
    <w:rsid w:val="00463E02"/>
    <w:rsid w:val="004649B8"/>
    <w:rsid w:val="00465099"/>
    <w:rsid w:val="00465EA0"/>
    <w:rsid w:val="00466044"/>
    <w:rsid w:val="0046733A"/>
    <w:rsid w:val="0046745A"/>
    <w:rsid w:val="00467B75"/>
    <w:rsid w:val="00467C67"/>
    <w:rsid w:val="00470058"/>
    <w:rsid w:val="0047008A"/>
    <w:rsid w:val="00470795"/>
    <w:rsid w:val="0047163B"/>
    <w:rsid w:val="00471717"/>
    <w:rsid w:val="00471B33"/>
    <w:rsid w:val="00471F6C"/>
    <w:rsid w:val="0047213D"/>
    <w:rsid w:val="00472763"/>
    <w:rsid w:val="00472AB0"/>
    <w:rsid w:val="00472BC4"/>
    <w:rsid w:val="00472E14"/>
    <w:rsid w:val="004730EE"/>
    <w:rsid w:val="004734C0"/>
    <w:rsid w:val="00473D9E"/>
    <w:rsid w:val="00474A05"/>
    <w:rsid w:val="00474FCA"/>
    <w:rsid w:val="004751F5"/>
    <w:rsid w:val="004754FA"/>
    <w:rsid w:val="0047552A"/>
    <w:rsid w:val="00475BEB"/>
    <w:rsid w:val="004766F5"/>
    <w:rsid w:val="004766F7"/>
    <w:rsid w:val="00477AF3"/>
    <w:rsid w:val="00480230"/>
    <w:rsid w:val="00480565"/>
    <w:rsid w:val="004809B5"/>
    <w:rsid w:val="00480A52"/>
    <w:rsid w:val="00480CEB"/>
    <w:rsid w:val="00480EA1"/>
    <w:rsid w:val="00480FA0"/>
    <w:rsid w:val="00481174"/>
    <w:rsid w:val="0048138D"/>
    <w:rsid w:val="00481BC4"/>
    <w:rsid w:val="004820ED"/>
    <w:rsid w:val="0048349B"/>
    <w:rsid w:val="0048446E"/>
    <w:rsid w:val="00484726"/>
    <w:rsid w:val="0048491C"/>
    <w:rsid w:val="00484A09"/>
    <w:rsid w:val="00484B6F"/>
    <w:rsid w:val="00484F62"/>
    <w:rsid w:val="00484FB8"/>
    <w:rsid w:val="004851F6"/>
    <w:rsid w:val="0048521C"/>
    <w:rsid w:val="0048553C"/>
    <w:rsid w:val="00485DE1"/>
    <w:rsid w:val="00485F8A"/>
    <w:rsid w:val="00486B91"/>
    <w:rsid w:val="00486D8A"/>
    <w:rsid w:val="00487B5A"/>
    <w:rsid w:val="004903B0"/>
    <w:rsid w:val="004911CC"/>
    <w:rsid w:val="00491736"/>
    <w:rsid w:val="00491853"/>
    <w:rsid w:val="00492D75"/>
    <w:rsid w:val="0049375C"/>
    <w:rsid w:val="0049383A"/>
    <w:rsid w:val="00494344"/>
    <w:rsid w:val="00494F30"/>
    <w:rsid w:val="00496706"/>
    <w:rsid w:val="00497233"/>
    <w:rsid w:val="004974F5"/>
    <w:rsid w:val="00497B86"/>
    <w:rsid w:val="004A027E"/>
    <w:rsid w:val="004A0691"/>
    <w:rsid w:val="004A0B9F"/>
    <w:rsid w:val="004A0CAB"/>
    <w:rsid w:val="004A1167"/>
    <w:rsid w:val="004A1398"/>
    <w:rsid w:val="004A13D4"/>
    <w:rsid w:val="004A17FE"/>
    <w:rsid w:val="004A181C"/>
    <w:rsid w:val="004A184D"/>
    <w:rsid w:val="004A2187"/>
    <w:rsid w:val="004A265B"/>
    <w:rsid w:val="004A2708"/>
    <w:rsid w:val="004A2860"/>
    <w:rsid w:val="004A3304"/>
    <w:rsid w:val="004A37F4"/>
    <w:rsid w:val="004A3B32"/>
    <w:rsid w:val="004A3CEB"/>
    <w:rsid w:val="004A3E8C"/>
    <w:rsid w:val="004A3FE9"/>
    <w:rsid w:val="004A42C8"/>
    <w:rsid w:val="004A464C"/>
    <w:rsid w:val="004A4BBE"/>
    <w:rsid w:val="004A4E73"/>
    <w:rsid w:val="004A5051"/>
    <w:rsid w:val="004A5182"/>
    <w:rsid w:val="004A51B6"/>
    <w:rsid w:val="004A56E2"/>
    <w:rsid w:val="004A5AAA"/>
    <w:rsid w:val="004A60A5"/>
    <w:rsid w:val="004A6BBA"/>
    <w:rsid w:val="004A74DB"/>
    <w:rsid w:val="004A7F31"/>
    <w:rsid w:val="004B0AA9"/>
    <w:rsid w:val="004B0BA8"/>
    <w:rsid w:val="004B0E9E"/>
    <w:rsid w:val="004B1307"/>
    <w:rsid w:val="004B1376"/>
    <w:rsid w:val="004B20B0"/>
    <w:rsid w:val="004B2B56"/>
    <w:rsid w:val="004B3209"/>
    <w:rsid w:val="004B336F"/>
    <w:rsid w:val="004B394C"/>
    <w:rsid w:val="004B3CD2"/>
    <w:rsid w:val="004B5335"/>
    <w:rsid w:val="004B5935"/>
    <w:rsid w:val="004B6395"/>
    <w:rsid w:val="004B683C"/>
    <w:rsid w:val="004B6961"/>
    <w:rsid w:val="004B7C67"/>
    <w:rsid w:val="004C05B0"/>
    <w:rsid w:val="004C10FD"/>
    <w:rsid w:val="004C1578"/>
    <w:rsid w:val="004C1932"/>
    <w:rsid w:val="004C196E"/>
    <w:rsid w:val="004C1B97"/>
    <w:rsid w:val="004C2D8D"/>
    <w:rsid w:val="004C392C"/>
    <w:rsid w:val="004C41A2"/>
    <w:rsid w:val="004C477D"/>
    <w:rsid w:val="004C5CB7"/>
    <w:rsid w:val="004C5E35"/>
    <w:rsid w:val="004C6541"/>
    <w:rsid w:val="004C6A2A"/>
    <w:rsid w:val="004C6D6C"/>
    <w:rsid w:val="004C746F"/>
    <w:rsid w:val="004C7626"/>
    <w:rsid w:val="004D0083"/>
    <w:rsid w:val="004D0921"/>
    <w:rsid w:val="004D1013"/>
    <w:rsid w:val="004D2237"/>
    <w:rsid w:val="004D24A1"/>
    <w:rsid w:val="004D2956"/>
    <w:rsid w:val="004D31FD"/>
    <w:rsid w:val="004D32E5"/>
    <w:rsid w:val="004D3F53"/>
    <w:rsid w:val="004D443C"/>
    <w:rsid w:val="004D6F41"/>
    <w:rsid w:val="004D71B3"/>
    <w:rsid w:val="004D786F"/>
    <w:rsid w:val="004D7B6D"/>
    <w:rsid w:val="004E0BEF"/>
    <w:rsid w:val="004E0CEA"/>
    <w:rsid w:val="004E10D4"/>
    <w:rsid w:val="004E18B5"/>
    <w:rsid w:val="004E1AB6"/>
    <w:rsid w:val="004E2312"/>
    <w:rsid w:val="004E2601"/>
    <w:rsid w:val="004E2A35"/>
    <w:rsid w:val="004E2A87"/>
    <w:rsid w:val="004E34DD"/>
    <w:rsid w:val="004E370B"/>
    <w:rsid w:val="004E406B"/>
    <w:rsid w:val="004E42D9"/>
    <w:rsid w:val="004E445D"/>
    <w:rsid w:val="004E544C"/>
    <w:rsid w:val="004E5C78"/>
    <w:rsid w:val="004E65CA"/>
    <w:rsid w:val="004E6FF5"/>
    <w:rsid w:val="004E74E0"/>
    <w:rsid w:val="004E750D"/>
    <w:rsid w:val="004E7589"/>
    <w:rsid w:val="004E78DF"/>
    <w:rsid w:val="004F035B"/>
    <w:rsid w:val="004F09CE"/>
    <w:rsid w:val="004F18E7"/>
    <w:rsid w:val="004F1A75"/>
    <w:rsid w:val="004F1AE0"/>
    <w:rsid w:val="004F1EA5"/>
    <w:rsid w:val="004F21B6"/>
    <w:rsid w:val="004F22FC"/>
    <w:rsid w:val="004F2B56"/>
    <w:rsid w:val="004F3310"/>
    <w:rsid w:val="004F353E"/>
    <w:rsid w:val="004F357E"/>
    <w:rsid w:val="004F380C"/>
    <w:rsid w:val="004F4321"/>
    <w:rsid w:val="004F488C"/>
    <w:rsid w:val="004F48B9"/>
    <w:rsid w:val="004F4A70"/>
    <w:rsid w:val="004F544B"/>
    <w:rsid w:val="004F5A47"/>
    <w:rsid w:val="004F5D77"/>
    <w:rsid w:val="004F5D80"/>
    <w:rsid w:val="004F6043"/>
    <w:rsid w:val="004F6176"/>
    <w:rsid w:val="004F74B9"/>
    <w:rsid w:val="004F74E6"/>
    <w:rsid w:val="004F7871"/>
    <w:rsid w:val="004F7DD4"/>
    <w:rsid w:val="0050001D"/>
    <w:rsid w:val="0050074C"/>
    <w:rsid w:val="00501283"/>
    <w:rsid w:val="005014B3"/>
    <w:rsid w:val="00501AE0"/>
    <w:rsid w:val="00501AED"/>
    <w:rsid w:val="00502504"/>
    <w:rsid w:val="0050275B"/>
    <w:rsid w:val="00502D44"/>
    <w:rsid w:val="005031E9"/>
    <w:rsid w:val="00503F75"/>
    <w:rsid w:val="005043E6"/>
    <w:rsid w:val="0050455A"/>
    <w:rsid w:val="00504985"/>
    <w:rsid w:val="00504D43"/>
    <w:rsid w:val="00505619"/>
    <w:rsid w:val="00505F4F"/>
    <w:rsid w:val="005062DA"/>
    <w:rsid w:val="005070EB"/>
    <w:rsid w:val="00507467"/>
    <w:rsid w:val="005074C9"/>
    <w:rsid w:val="00510DDC"/>
    <w:rsid w:val="00512CCF"/>
    <w:rsid w:val="00512FFB"/>
    <w:rsid w:val="005132C8"/>
    <w:rsid w:val="005134AB"/>
    <w:rsid w:val="005136A8"/>
    <w:rsid w:val="00513C58"/>
    <w:rsid w:val="0051400C"/>
    <w:rsid w:val="0051458F"/>
    <w:rsid w:val="00514CF6"/>
    <w:rsid w:val="00514F2D"/>
    <w:rsid w:val="005162FC"/>
    <w:rsid w:val="00516A5A"/>
    <w:rsid w:val="00516DA0"/>
    <w:rsid w:val="00517B7F"/>
    <w:rsid w:val="00517BC2"/>
    <w:rsid w:val="00517BFA"/>
    <w:rsid w:val="00517C39"/>
    <w:rsid w:val="00517C94"/>
    <w:rsid w:val="00517DD5"/>
    <w:rsid w:val="005203E8"/>
    <w:rsid w:val="00520A98"/>
    <w:rsid w:val="00520B51"/>
    <w:rsid w:val="00520DE0"/>
    <w:rsid w:val="00520F58"/>
    <w:rsid w:val="00520F5C"/>
    <w:rsid w:val="00521014"/>
    <w:rsid w:val="0052123E"/>
    <w:rsid w:val="00521B6E"/>
    <w:rsid w:val="0052230A"/>
    <w:rsid w:val="0052265E"/>
    <w:rsid w:val="00522EF9"/>
    <w:rsid w:val="0052364F"/>
    <w:rsid w:val="005236C9"/>
    <w:rsid w:val="00523EE1"/>
    <w:rsid w:val="00523FCC"/>
    <w:rsid w:val="0052421E"/>
    <w:rsid w:val="00524773"/>
    <w:rsid w:val="00524942"/>
    <w:rsid w:val="005250BC"/>
    <w:rsid w:val="00525FF2"/>
    <w:rsid w:val="0052645D"/>
    <w:rsid w:val="00526637"/>
    <w:rsid w:val="005266DC"/>
    <w:rsid w:val="00526709"/>
    <w:rsid w:val="0052716F"/>
    <w:rsid w:val="00527B85"/>
    <w:rsid w:val="00527D11"/>
    <w:rsid w:val="005300B1"/>
    <w:rsid w:val="005303A5"/>
    <w:rsid w:val="005303C8"/>
    <w:rsid w:val="005304F4"/>
    <w:rsid w:val="00530D74"/>
    <w:rsid w:val="005314C7"/>
    <w:rsid w:val="005319E3"/>
    <w:rsid w:val="00531CA8"/>
    <w:rsid w:val="00531D7C"/>
    <w:rsid w:val="00531F99"/>
    <w:rsid w:val="00532258"/>
    <w:rsid w:val="00532523"/>
    <w:rsid w:val="0053310F"/>
    <w:rsid w:val="00533D7D"/>
    <w:rsid w:val="005343D6"/>
    <w:rsid w:val="005345D6"/>
    <w:rsid w:val="00535833"/>
    <w:rsid w:val="00535859"/>
    <w:rsid w:val="00535C81"/>
    <w:rsid w:val="00535E7F"/>
    <w:rsid w:val="0053603B"/>
    <w:rsid w:val="00536C58"/>
    <w:rsid w:val="00536E3D"/>
    <w:rsid w:val="00537335"/>
    <w:rsid w:val="00537681"/>
    <w:rsid w:val="00537BCE"/>
    <w:rsid w:val="00540263"/>
    <w:rsid w:val="00540795"/>
    <w:rsid w:val="00541197"/>
    <w:rsid w:val="00541A65"/>
    <w:rsid w:val="0054220A"/>
    <w:rsid w:val="0054243A"/>
    <w:rsid w:val="00542A0F"/>
    <w:rsid w:val="00542AFA"/>
    <w:rsid w:val="00542CEB"/>
    <w:rsid w:val="00542D46"/>
    <w:rsid w:val="005432C8"/>
    <w:rsid w:val="00543532"/>
    <w:rsid w:val="0054396F"/>
    <w:rsid w:val="00543D5F"/>
    <w:rsid w:val="00543E70"/>
    <w:rsid w:val="0054459A"/>
    <w:rsid w:val="00544863"/>
    <w:rsid w:val="00544B4F"/>
    <w:rsid w:val="00544DF1"/>
    <w:rsid w:val="00546016"/>
    <w:rsid w:val="0054643A"/>
    <w:rsid w:val="00547125"/>
    <w:rsid w:val="005473A2"/>
    <w:rsid w:val="005474D9"/>
    <w:rsid w:val="0054781A"/>
    <w:rsid w:val="00547A95"/>
    <w:rsid w:val="00547C14"/>
    <w:rsid w:val="00550470"/>
    <w:rsid w:val="00550712"/>
    <w:rsid w:val="00551787"/>
    <w:rsid w:val="005519F4"/>
    <w:rsid w:val="00551FD1"/>
    <w:rsid w:val="00552EAC"/>
    <w:rsid w:val="0055348D"/>
    <w:rsid w:val="0055359E"/>
    <w:rsid w:val="00553C7C"/>
    <w:rsid w:val="005540BF"/>
    <w:rsid w:val="005546EE"/>
    <w:rsid w:val="00554784"/>
    <w:rsid w:val="00554983"/>
    <w:rsid w:val="00554D8C"/>
    <w:rsid w:val="00554FF5"/>
    <w:rsid w:val="0055614C"/>
    <w:rsid w:val="005573FF"/>
    <w:rsid w:val="00557869"/>
    <w:rsid w:val="00557D33"/>
    <w:rsid w:val="00557EE4"/>
    <w:rsid w:val="00560099"/>
    <w:rsid w:val="00560DEB"/>
    <w:rsid w:val="0056105E"/>
    <w:rsid w:val="0056111E"/>
    <w:rsid w:val="00561132"/>
    <w:rsid w:val="00561612"/>
    <w:rsid w:val="00561D59"/>
    <w:rsid w:val="005621AC"/>
    <w:rsid w:val="00562272"/>
    <w:rsid w:val="005624EA"/>
    <w:rsid w:val="00562F3A"/>
    <w:rsid w:val="005632C8"/>
    <w:rsid w:val="005637BE"/>
    <w:rsid w:val="0056385E"/>
    <w:rsid w:val="00563CF9"/>
    <w:rsid w:val="00564136"/>
    <w:rsid w:val="005647C3"/>
    <w:rsid w:val="00564888"/>
    <w:rsid w:val="00564DEE"/>
    <w:rsid w:val="00564E5B"/>
    <w:rsid w:val="00564F00"/>
    <w:rsid w:val="005658F0"/>
    <w:rsid w:val="00565B5F"/>
    <w:rsid w:val="00565C4F"/>
    <w:rsid w:val="00565CE7"/>
    <w:rsid w:val="00565E2D"/>
    <w:rsid w:val="005667AC"/>
    <w:rsid w:val="005668D6"/>
    <w:rsid w:val="00567913"/>
    <w:rsid w:val="00567BD9"/>
    <w:rsid w:val="00570893"/>
    <w:rsid w:val="00571038"/>
    <w:rsid w:val="00571123"/>
    <w:rsid w:val="00571279"/>
    <w:rsid w:val="005717CD"/>
    <w:rsid w:val="00572139"/>
    <w:rsid w:val="0057220E"/>
    <w:rsid w:val="005722B8"/>
    <w:rsid w:val="005723E7"/>
    <w:rsid w:val="005724EF"/>
    <w:rsid w:val="005726E1"/>
    <w:rsid w:val="00572AFE"/>
    <w:rsid w:val="00572DEF"/>
    <w:rsid w:val="00572F0B"/>
    <w:rsid w:val="005732E6"/>
    <w:rsid w:val="0057330A"/>
    <w:rsid w:val="00573537"/>
    <w:rsid w:val="00573666"/>
    <w:rsid w:val="00573B33"/>
    <w:rsid w:val="00573D7A"/>
    <w:rsid w:val="00574294"/>
    <w:rsid w:val="0057438E"/>
    <w:rsid w:val="00574748"/>
    <w:rsid w:val="00575339"/>
    <w:rsid w:val="00575547"/>
    <w:rsid w:val="00575FD3"/>
    <w:rsid w:val="00576322"/>
    <w:rsid w:val="005765E9"/>
    <w:rsid w:val="005767AF"/>
    <w:rsid w:val="00576D2D"/>
    <w:rsid w:val="00576EF3"/>
    <w:rsid w:val="00577BD8"/>
    <w:rsid w:val="00577E81"/>
    <w:rsid w:val="00580071"/>
    <w:rsid w:val="00580534"/>
    <w:rsid w:val="0058076B"/>
    <w:rsid w:val="00580FF1"/>
    <w:rsid w:val="0058118C"/>
    <w:rsid w:val="005814D7"/>
    <w:rsid w:val="005817F0"/>
    <w:rsid w:val="005830F6"/>
    <w:rsid w:val="005836ED"/>
    <w:rsid w:val="00583A3C"/>
    <w:rsid w:val="00583D4D"/>
    <w:rsid w:val="00584145"/>
    <w:rsid w:val="005841D0"/>
    <w:rsid w:val="00584252"/>
    <w:rsid w:val="00584288"/>
    <w:rsid w:val="0058431B"/>
    <w:rsid w:val="00584331"/>
    <w:rsid w:val="005847B1"/>
    <w:rsid w:val="00585204"/>
    <w:rsid w:val="00585385"/>
    <w:rsid w:val="005854E5"/>
    <w:rsid w:val="005854ED"/>
    <w:rsid w:val="00586707"/>
    <w:rsid w:val="00586EFE"/>
    <w:rsid w:val="005875FB"/>
    <w:rsid w:val="00587BA7"/>
    <w:rsid w:val="00590977"/>
    <w:rsid w:val="00590C25"/>
    <w:rsid w:val="00591495"/>
    <w:rsid w:val="00591D79"/>
    <w:rsid w:val="00592292"/>
    <w:rsid w:val="00592595"/>
    <w:rsid w:val="00593053"/>
    <w:rsid w:val="0059310A"/>
    <w:rsid w:val="00593858"/>
    <w:rsid w:val="00593A2A"/>
    <w:rsid w:val="005944E1"/>
    <w:rsid w:val="00594BC2"/>
    <w:rsid w:val="00594D19"/>
    <w:rsid w:val="00595449"/>
    <w:rsid w:val="00595842"/>
    <w:rsid w:val="00595E5C"/>
    <w:rsid w:val="0059635F"/>
    <w:rsid w:val="0059654B"/>
    <w:rsid w:val="00596615"/>
    <w:rsid w:val="00596CA7"/>
    <w:rsid w:val="0059781A"/>
    <w:rsid w:val="0059785F"/>
    <w:rsid w:val="005A0BE3"/>
    <w:rsid w:val="005A1020"/>
    <w:rsid w:val="005A10D3"/>
    <w:rsid w:val="005A13C1"/>
    <w:rsid w:val="005A1625"/>
    <w:rsid w:val="005A1FAD"/>
    <w:rsid w:val="005A21A7"/>
    <w:rsid w:val="005A22FD"/>
    <w:rsid w:val="005A241E"/>
    <w:rsid w:val="005A2DF3"/>
    <w:rsid w:val="005A32DC"/>
    <w:rsid w:val="005A3DBB"/>
    <w:rsid w:val="005A5534"/>
    <w:rsid w:val="005A59A2"/>
    <w:rsid w:val="005A68C0"/>
    <w:rsid w:val="005A6B43"/>
    <w:rsid w:val="005A6D38"/>
    <w:rsid w:val="005A6E21"/>
    <w:rsid w:val="005A74E1"/>
    <w:rsid w:val="005A7BBF"/>
    <w:rsid w:val="005A7EFA"/>
    <w:rsid w:val="005B0007"/>
    <w:rsid w:val="005B04C8"/>
    <w:rsid w:val="005B0761"/>
    <w:rsid w:val="005B0BE1"/>
    <w:rsid w:val="005B0D76"/>
    <w:rsid w:val="005B0FEA"/>
    <w:rsid w:val="005B13D5"/>
    <w:rsid w:val="005B193D"/>
    <w:rsid w:val="005B1D86"/>
    <w:rsid w:val="005B2E2A"/>
    <w:rsid w:val="005B3398"/>
    <w:rsid w:val="005B38C8"/>
    <w:rsid w:val="005B3BB5"/>
    <w:rsid w:val="005B400E"/>
    <w:rsid w:val="005B42AE"/>
    <w:rsid w:val="005B4DF8"/>
    <w:rsid w:val="005B5797"/>
    <w:rsid w:val="005B5BF4"/>
    <w:rsid w:val="005B6051"/>
    <w:rsid w:val="005B674C"/>
    <w:rsid w:val="005B6E4E"/>
    <w:rsid w:val="005B6F6B"/>
    <w:rsid w:val="005B6FCD"/>
    <w:rsid w:val="005B7100"/>
    <w:rsid w:val="005B7732"/>
    <w:rsid w:val="005B78C0"/>
    <w:rsid w:val="005B7EFF"/>
    <w:rsid w:val="005C00F6"/>
    <w:rsid w:val="005C0729"/>
    <w:rsid w:val="005C0FDC"/>
    <w:rsid w:val="005C1724"/>
    <w:rsid w:val="005C1B25"/>
    <w:rsid w:val="005C2BC4"/>
    <w:rsid w:val="005C2C3C"/>
    <w:rsid w:val="005C2FDC"/>
    <w:rsid w:val="005C30D0"/>
    <w:rsid w:val="005C39ED"/>
    <w:rsid w:val="005C3A86"/>
    <w:rsid w:val="005C3AF7"/>
    <w:rsid w:val="005C4517"/>
    <w:rsid w:val="005C459B"/>
    <w:rsid w:val="005C5342"/>
    <w:rsid w:val="005C537A"/>
    <w:rsid w:val="005C56EE"/>
    <w:rsid w:val="005C5845"/>
    <w:rsid w:val="005C5DAB"/>
    <w:rsid w:val="005C66B7"/>
    <w:rsid w:val="005C7187"/>
    <w:rsid w:val="005C75C6"/>
    <w:rsid w:val="005C7862"/>
    <w:rsid w:val="005C7E24"/>
    <w:rsid w:val="005D01D2"/>
    <w:rsid w:val="005D0271"/>
    <w:rsid w:val="005D0D7E"/>
    <w:rsid w:val="005D2637"/>
    <w:rsid w:val="005D2DC7"/>
    <w:rsid w:val="005D3067"/>
    <w:rsid w:val="005D30E1"/>
    <w:rsid w:val="005D34C3"/>
    <w:rsid w:val="005D3CC9"/>
    <w:rsid w:val="005D453B"/>
    <w:rsid w:val="005D4A3B"/>
    <w:rsid w:val="005D581E"/>
    <w:rsid w:val="005D5D8F"/>
    <w:rsid w:val="005D5EE6"/>
    <w:rsid w:val="005D5F99"/>
    <w:rsid w:val="005D620D"/>
    <w:rsid w:val="005D65EF"/>
    <w:rsid w:val="005D6708"/>
    <w:rsid w:val="005D70DF"/>
    <w:rsid w:val="005D71AA"/>
    <w:rsid w:val="005D7997"/>
    <w:rsid w:val="005D7A3A"/>
    <w:rsid w:val="005D7DAA"/>
    <w:rsid w:val="005D7E0B"/>
    <w:rsid w:val="005E09B6"/>
    <w:rsid w:val="005E2191"/>
    <w:rsid w:val="005E27F8"/>
    <w:rsid w:val="005E2A81"/>
    <w:rsid w:val="005E3058"/>
    <w:rsid w:val="005E33D8"/>
    <w:rsid w:val="005E3A71"/>
    <w:rsid w:val="005E4203"/>
    <w:rsid w:val="005E466F"/>
    <w:rsid w:val="005E50B5"/>
    <w:rsid w:val="005E510E"/>
    <w:rsid w:val="005E5483"/>
    <w:rsid w:val="005E6247"/>
    <w:rsid w:val="005E6298"/>
    <w:rsid w:val="005E6A8D"/>
    <w:rsid w:val="005E722C"/>
    <w:rsid w:val="005E7BDB"/>
    <w:rsid w:val="005E7E2B"/>
    <w:rsid w:val="005F0A3E"/>
    <w:rsid w:val="005F0B48"/>
    <w:rsid w:val="005F0E7C"/>
    <w:rsid w:val="005F193C"/>
    <w:rsid w:val="005F1AE6"/>
    <w:rsid w:val="005F1DFE"/>
    <w:rsid w:val="005F2255"/>
    <w:rsid w:val="005F25DD"/>
    <w:rsid w:val="005F26BE"/>
    <w:rsid w:val="005F29EC"/>
    <w:rsid w:val="005F29F3"/>
    <w:rsid w:val="005F2B8D"/>
    <w:rsid w:val="005F2F7B"/>
    <w:rsid w:val="005F316A"/>
    <w:rsid w:val="005F3A7E"/>
    <w:rsid w:val="005F449F"/>
    <w:rsid w:val="005F5171"/>
    <w:rsid w:val="005F6DF5"/>
    <w:rsid w:val="005F70EC"/>
    <w:rsid w:val="005F7674"/>
    <w:rsid w:val="005F7B0F"/>
    <w:rsid w:val="005F7B65"/>
    <w:rsid w:val="005F7C79"/>
    <w:rsid w:val="005F7D85"/>
    <w:rsid w:val="006001B0"/>
    <w:rsid w:val="00600586"/>
    <w:rsid w:val="00600B6C"/>
    <w:rsid w:val="00600C5B"/>
    <w:rsid w:val="00600E06"/>
    <w:rsid w:val="0060146E"/>
    <w:rsid w:val="006014E9"/>
    <w:rsid w:val="00601595"/>
    <w:rsid w:val="006015A4"/>
    <w:rsid w:val="00601793"/>
    <w:rsid w:val="00601A44"/>
    <w:rsid w:val="00601B07"/>
    <w:rsid w:val="006021F0"/>
    <w:rsid w:val="00602D3F"/>
    <w:rsid w:val="00602E2F"/>
    <w:rsid w:val="00603B74"/>
    <w:rsid w:val="00603C50"/>
    <w:rsid w:val="00603CE9"/>
    <w:rsid w:val="00604034"/>
    <w:rsid w:val="00605DE9"/>
    <w:rsid w:val="00605EDE"/>
    <w:rsid w:val="00606DCE"/>
    <w:rsid w:val="00606F5B"/>
    <w:rsid w:val="006071F6"/>
    <w:rsid w:val="00607284"/>
    <w:rsid w:val="0060740C"/>
    <w:rsid w:val="0060747E"/>
    <w:rsid w:val="00607B72"/>
    <w:rsid w:val="00607C72"/>
    <w:rsid w:val="00610593"/>
    <w:rsid w:val="00610754"/>
    <w:rsid w:val="00610765"/>
    <w:rsid w:val="00610784"/>
    <w:rsid w:val="00610A63"/>
    <w:rsid w:val="006112A5"/>
    <w:rsid w:val="006113B1"/>
    <w:rsid w:val="0061181B"/>
    <w:rsid w:val="00611C23"/>
    <w:rsid w:val="0061212D"/>
    <w:rsid w:val="006123AE"/>
    <w:rsid w:val="00612478"/>
    <w:rsid w:val="00612776"/>
    <w:rsid w:val="00612A3B"/>
    <w:rsid w:val="00612AB4"/>
    <w:rsid w:val="00613914"/>
    <w:rsid w:val="00614960"/>
    <w:rsid w:val="00614BCF"/>
    <w:rsid w:val="00614C38"/>
    <w:rsid w:val="0061551C"/>
    <w:rsid w:val="006165B8"/>
    <w:rsid w:val="006166A1"/>
    <w:rsid w:val="00617157"/>
    <w:rsid w:val="00617E09"/>
    <w:rsid w:val="00620642"/>
    <w:rsid w:val="00620FF3"/>
    <w:rsid w:val="0062115C"/>
    <w:rsid w:val="0062141E"/>
    <w:rsid w:val="00621602"/>
    <w:rsid w:val="00621DB4"/>
    <w:rsid w:val="0062226C"/>
    <w:rsid w:val="00622572"/>
    <w:rsid w:val="006225D2"/>
    <w:rsid w:val="006227A1"/>
    <w:rsid w:val="006229A7"/>
    <w:rsid w:val="00622BCC"/>
    <w:rsid w:val="00622D45"/>
    <w:rsid w:val="00622D85"/>
    <w:rsid w:val="00623442"/>
    <w:rsid w:val="006237F3"/>
    <w:rsid w:val="00623C6C"/>
    <w:rsid w:val="00624116"/>
    <w:rsid w:val="00624158"/>
    <w:rsid w:val="006251A2"/>
    <w:rsid w:val="006254ED"/>
    <w:rsid w:val="0062553C"/>
    <w:rsid w:val="00625997"/>
    <w:rsid w:val="00625F64"/>
    <w:rsid w:val="0062605C"/>
    <w:rsid w:val="006266F2"/>
    <w:rsid w:val="00626D68"/>
    <w:rsid w:val="00626E49"/>
    <w:rsid w:val="006271DC"/>
    <w:rsid w:val="0062738E"/>
    <w:rsid w:val="006273FD"/>
    <w:rsid w:val="0062772E"/>
    <w:rsid w:val="00627AF3"/>
    <w:rsid w:val="00630031"/>
    <w:rsid w:val="00630071"/>
    <w:rsid w:val="00630084"/>
    <w:rsid w:val="00630160"/>
    <w:rsid w:val="006303B7"/>
    <w:rsid w:val="00630510"/>
    <w:rsid w:val="00630F05"/>
    <w:rsid w:val="00630F51"/>
    <w:rsid w:val="00630F82"/>
    <w:rsid w:val="0063155D"/>
    <w:rsid w:val="00631924"/>
    <w:rsid w:val="00631935"/>
    <w:rsid w:val="00631945"/>
    <w:rsid w:val="006320F1"/>
    <w:rsid w:val="006326E9"/>
    <w:rsid w:val="00632C1B"/>
    <w:rsid w:val="00632C63"/>
    <w:rsid w:val="006336C5"/>
    <w:rsid w:val="006339FA"/>
    <w:rsid w:val="00633A47"/>
    <w:rsid w:val="00634204"/>
    <w:rsid w:val="006347B0"/>
    <w:rsid w:val="006347D4"/>
    <w:rsid w:val="00634F63"/>
    <w:rsid w:val="00635F1E"/>
    <w:rsid w:val="00636116"/>
    <w:rsid w:val="0063617B"/>
    <w:rsid w:val="00636233"/>
    <w:rsid w:val="006371C1"/>
    <w:rsid w:val="0063741E"/>
    <w:rsid w:val="006378CC"/>
    <w:rsid w:val="00637BF5"/>
    <w:rsid w:val="00640785"/>
    <w:rsid w:val="00641024"/>
    <w:rsid w:val="00641694"/>
    <w:rsid w:val="00642AA4"/>
    <w:rsid w:val="00642B50"/>
    <w:rsid w:val="00643083"/>
    <w:rsid w:val="0064364A"/>
    <w:rsid w:val="006436CD"/>
    <w:rsid w:val="00643910"/>
    <w:rsid w:val="00643945"/>
    <w:rsid w:val="00643F4E"/>
    <w:rsid w:val="00644458"/>
    <w:rsid w:val="00644871"/>
    <w:rsid w:val="00644A47"/>
    <w:rsid w:val="006457CC"/>
    <w:rsid w:val="00645AAB"/>
    <w:rsid w:val="00645DE9"/>
    <w:rsid w:val="00645FCB"/>
    <w:rsid w:val="00646371"/>
    <w:rsid w:val="00646742"/>
    <w:rsid w:val="00647742"/>
    <w:rsid w:val="0065001B"/>
    <w:rsid w:val="00650351"/>
    <w:rsid w:val="00650663"/>
    <w:rsid w:val="006508B6"/>
    <w:rsid w:val="00651247"/>
    <w:rsid w:val="00651297"/>
    <w:rsid w:val="00651F16"/>
    <w:rsid w:val="00652A7E"/>
    <w:rsid w:val="00652AC3"/>
    <w:rsid w:val="00653130"/>
    <w:rsid w:val="006533DF"/>
    <w:rsid w:val="00653A65"/>
    <w:rsid w:val="00654CB0"/>
    <w:rsid w:val="00655EB0"/>
    <w:rsid w:val="00655EB2"/>
    <w:rsid w:val="006561C8"/>
    <w:rsid w:val="00656213"/>
    <w:rsid w:val="0065672E"/>
    <w:rsid w:val="00657002"/>
    <w:rsid w:val="00657388"/>
    <w:rsid w:val="00657671"/>
    <w:rsid w:val="006576CD"/>
    <w:rsid w:val="00657D87"/>
    <w:rsid w:val="00660927"/>
    <w:rsid w:val="00660A34"/>
    <w:rsid w:val="00660EBA"/>
    <w:rsid w:val="00661AAF"/>
    <w:rsid w:val="00661CC3"/>
    <w:rsid w:val="00661E1E"/>
    <w:rsid w:val="00662144"/>
    <w:rsid w:val="00662E20"/>
    <w:rsid w:val="00663643"/>
    <w:rsid w:val="00663812"/>
    <w:rsid w:val="006646BA"/>
    <w:rsid w:val="0066478B"/>
    <w:rsid w:val="00664F7F"/>
    <w:rsid w:val="006655A4"/>
    <w:rsid w:val="00665EEC"/>
    <w:rsid w:val="00666C61"/>
    <w:rsid w:val="00666E4F"/>
    <w:rsid w:val="0066700B"/>
    <w:rsid w:val="006678A2"/>
    <w:rsid w:val="0066798A"/>
    <w:rsid w:val="0066799C"/>
    <w:rsid w:val="00667ED7"/>
    <w:rsid w:val="006703CA"/>
    <w:rsid w:val="00670544"/>
    <w:rsid w:val="0067056F"/>
    <w:rsid w:val="00670AA6"/>
    <w:rsid w:val="00670B78"/>
    <w:rsid w:val="00670C84"/>
    <w:rsid w:val="006711A5"/>
    <w:rsid w:val="006711E5"/>
    <w:rsid w:val="0067178C"/>
    <w:rsid w:val="00671F38"/>
    <w:rsid w:val="00672263"/>
    <w:rsid w:val="00672593"/>
    <w:rsid w:val="00672712"/>
    <w:rsid w:val="006727C1"/>
    <w:rsid w:val="00672DDD"/>
    <w:rsid w:val="006731E5"/>
    <w:rsid w:val="00673864"/>
    <w:rsid w:val="00673950"/>
    <w:rsid w:val="006739FC"/>
    <w:rsid w:val="00673F11"/>
    <w:rsid w:val="00674A08"/>
    <w:rsid w:val="00674A96"/>
    <w:rsid w:val="00674E21"/>
    <w:rsid w:val="00675824"/>
    <w:rsid w:val="00675AC7"/>
    <w:rsid w:val="00676669"/>
    <w:rsid w:val="006767AE"/>
    <w:rsid w:val="00676C7D"/>
    <w:rsid w:val="00677A47"/>
    <w:rsid w:val="00680466"/>
    <w:rsid w:val="00680538"/>
    <w:rsid w:val="0068067E"/>
    <w:rsid w:val="006812A7"/>
    <w:rsid w:val="006816F1"/>
    <w:rsid w:val="00682DB5"/>
    <w:rsid w:val="00683DB0"/>
    <w:rsid w:val="00684067"/>
    <w:rsid w:val="0068413B"/>
    <w:rsid w:val="00684247"/>
    <w:rsid w:val="00684BAA"/>
    <w:rsid w:val="006853A4"/>
    <w:rsid w:val="00685D46"/>
    <w:rsid w:val="006874C1"/>
    <w:rsid w:val="00690B82"/>
    <w:rsid w:val="006914AE"/>
    <w:rsid w:val="0069156A"/>
    <w:rsid w:val="00691A6D"/>
    <w:rsid w:val="00692441"/>
    <w:rsid w:val="006926DF"/>
    <w:rsid w:val="00692BEE"/>
    <w:rsid w:val="0069375D"/>
    <w:rsid w:val="00693795"/>
    <w:rsid w:val="006937C7"/>
    <w:rsid w:val="00693BA6"/>
    <w:rsid w:val="00694973"/>
    <w:rsid w:val="00694ADA"/>
    <w:rsid w:val="00694D7D"/>
    <w:rsid w:val="00695601"/>
    <w:rsid w:val="006956C8"/>
    <w:rsid w:val="00695710"/>
    <w:rsid w:val="00695A3C"/>
    <w:rsid w:val="00695C48"/>
    <w:rsid w:val="0069687C"/>
    <w:rsid w:val="006978CB"/>
    <w:rsid w:val="00697A24"/>
    <w:rsid w:val="00697E0A"/>
    <w:rsid w:val="006A002B"/>
    <w:rsid w:val="006A0489"/>
    <w:rsid w:val="006A11CE"/>
    <w:rsid w:val="006A164D"/>
    <w:rsid w:val="006A1699"/>
    <w:rsid w:val="006A19FE"/>
    <w:rsid w:val="006A2166"/>
    <w:rsid w:val="006A2639"/>
    <w:rsid w:val="006A272F"/>
    <w:rsid w:val="006A2C7D"/>
    <w:rsid w:val="006A2C9A"/>
    <w:rsid w:val="006A3070"/>
    <w:rsid w:val="006A30B5"/>
    <w:rsid w:val="006A3388"/>
    <w:rsid w:val="006A34DF"/>
    <w:rsid w:val="006A34EC"/>
    <w:rsid w:val="006A35DD"/>
    <w:rsid w:val="006A3A5C"/>
    <w:rsid w:val="006A456B"/>
    <w:rsid w:val="006A48D1"/>
    <w:rsid w:val="006A5B0E"/>
    <w:rsid w:val="006A5F0F"/>
    <w:rsid w:val="006A61DC"/>
    <w:rsid w:val="006A65B6"/>
    <w:rsid w:val="006A65EA"/>
    <w:rsid w:val="006A6F62"/>
    <w:rsid w:val="006A71A8"/>
    <w:rsid w:val="006A7897"/>
    <w:rsid w:val="006A7A07"/>
    <w:rsid w:val="006B0341"/>
    <w:rsid w:val="006B0832"/>
    <w:rsid w:val="006B0A74"/>
    <w:rsid w:val="006B0F9D"/>
    <w:rsid w:val="006B12A1"/>
    <w:rsid w:val="006B1AE1"/>
    <w:rsid w:val="006B1C0E"/>
    <w:rsid w:val="006B1F4B"/>
    <w:rsid w:val="006B2121"/>
    <w:rsid w:val="006B27A8"/>
    <w:rsid w:val="006B28D1"/>
    <w:rsid w:val="006B4ABB"/>
    <w:rsid w:val="006B4AFF"/>
    <w:rsid w:val="006B4F5D"/>
    <w:rsid w:val="006B51BA"/>
    <w:rsid w:val="006B55EC"/>
    <w:rsid w:val="006B5CD5"/>
    <w:rsid w:val="006B68D0"/>
    <w:rsid w:val="006B6C40"/>
    <w:rsid w:val="006B7410"/>
    <w:rsid w:val="006B744F"/>
    <w:rsid w:val="006B748F"/>
    <w:rsid w:val="006B78A6"/>
    <w:rsid w:val="006B78DA"/>
    <w:rsid w:val="006C0B62"/>
    <w:rsid w:val="006C0DA3"/>
    <w:rsid w:val="006C1AD8"/>
    <w:rsid w:val="006C1F0C"/>
    <w:rsid w:val="006C23B5"/>
    <w:rsid w:val="006C27CF"/>
    <w:rsid w:val="006C2841"/>
    <w:rsid w:val="006C29CB"/>
    <w:rsid w:val="006C2E59"/>
    <w:rsid w:val="006C3E1C"/>
    <w:rsid w:val="006C40E2"/>
    <w:rsid w:val="006C578E"/>
    <w:rsid w:val="006C5AAF"/>
    <w:rsid w:val="006C61B6"/>
    <w:rsid w:val="006C6E65"/>
    <w:rsid w:val="006C7473"/>
    <w:rsid w:val="006C75D6"/>
    <w:rsid w:val="006C76AA"/>
    <w:rsid w:val="006C7CC2"/>
    <w:rsid w:val="006C7DCF"/>
    <w:rsid w:val="006D01C9"/>
    <w:rsid w:val="006D076F"/>
    <w:rsid w:val="006D08F7"/>
    <w:rsid w:val="006D09CF"/>
    <w:rsid w:val="006D0AB8"/>
    <w:rsid w:val="006D12BC"/>
    <w:rsid w:val="006D131A"/>
    <w:rsid w:val="006D187B"/>
    <w:rsid w:val="006D1DCC"/>
    <w:rsid w:val="006D1FF1"/>
    <w:rsid w:val="006D2665"/>
    <w:rsid w:val="006D2691"/>
    <w:rsid w:val="006D30D8"/>
    <w:rsid w:val="006D51A0"/>
    <w:rsid w:val="006D5248"/>
    <w:rsid w:val="006D6220"/>
    <w:rsid w:val="006D69BF"/>
    <w:rsid w:val="006D6C74"/>
    <w:rsid w:val="006D71E4"/>
    <w:rsid w:val="006D7496"/>
    <w:rsid w:val="006D7A5C"/>
    <w:rsid w:val="006E082F"/>
    <w:rsid w:val="006E0CC2"/>
    <w:rsid w:val="006E1163"/>
    <w:rsid w:val="006E19E5"/>
    <w:rsid w:val="006E208E"/>
    <w:rsid w:val="006E24C3"/>
    <w:rsid w:val="006E2956"/>
    <w:rsid w:val="006E2A8C"/>
    <w:rsid w:val="006E3915"/>
    <w:rsid w:val="006E3D28"/>
    <w:rsid w:val="006E3E2B"/>
    <w:rsid w:val="006E4590"/>
    <w:rsid w:val="006E50A7"/>
    <w:rsid w:val="006E58AD"/>
    <w:rsid w:val="006E5C7B"/>
    <w:rsid w:val="006E65F1"/>
    <w:rsid w:val="006E6E2A"/>
    <w:rsid w:val="006E71B8"/>
    <w:rsid w:val="006E7585"/>
    <w:rsid w:val="006E7D5A"/>
    <w:rsid w:val="006E7F3E"/>
    <w:rsid w:val="006E7F79"/>
    <w:rsid w:val="006F0492"/>
    <w:rsid w:val="006F070C"/>
    <w:rsid w:val="006F0AD6"/>
    <w:rsid w:val="006F138F"/>
    <w:rsid w:val="006F1980"/>
    <w:rsid w:val="006F1BE5"/>
    <w:rsid w:val="006F275F"/>
    <w:rsid w:val="006F2F46"/>
    <w:rsid w:val="006F37E7"/>
    <w:rsid w:val="006F4000"/>
    <w:rsid w:val="006F42AE"/>
    <w:rsid w:val="006F4339"/>
    <w:rsid w:val="006F4C78"/>
    <w:rsid w:val="006F4D75"/>
    <w:rsid w:val="006F4F12"/>
    <w:rsid w:val="006F51A9"/>
    <w:rsid w:val="006F51DA"/>
    <w:rsid w:val="006F5A2C"/>
    <w:rsid w:val="006F64DF"/>
    <w:rsid w:val="006F6B22"/>
    <w:rsid w:val="006F6F2C"/>
    <w:rsid w:val="00700531"/>
    <w:rsid w:val="007006BE"/>
    <w:rsid w:val="00700703"/>
    <w:rsid w:val="00700756"/>
    <w:rsid w:val="007016EE"/>
    <w:rsid w:val="00701757"/>
    <w:rsid w:val="0070179D"/>
    <w:rsid w:val="00701D6F"/>
    <w:rsid w:val="00701F66"/>
    <w:rsid w:val="007024B8"/>
    <w:rsid w:val="007026AE"/>
    <w:rsid w:val="00703128"/>
    <w:rsid w:val="00703DA4"/>
    <w:rsid w:val="007043B6"/>
    <w:rsid w:val="00704BE4"/>
    <w:rsid w:val="00704EF5"/>
    <w:rsid w:val="00705060"/>
    <w:rsid w:val="00705261"/>
    <w:rsid w:val="00705348"/>
    <w:rsid w:val="00705587"/>
    <w:rsid w:val="00705946"/>
    <w:rsid w:val="0070671E"/>
    <w:rsid w:val="00706938"/>
    <w:rsid w:val="00706975"/>
    <w:rsid w:val="00706DF1"/>
    <w:rsid w:val="00706F74"/>
    <w:rsid w:val="00707155"/>
    <w:rsid w:val="00707237"/>
    <w:rsid w:val="0070734E"/>
    <w:rsid w:val="007073B8"/>
    <w:rsid w:val="007075C4"/>
    <w:rsid w:val="00710343"/>
    <w:rsid w:val="00710937"/>
    <w:rsid w:val="007118C8"/>
    <w:rsid w:val="00711A39"/>
    <w:rsid w:val="00711C99"/>
    <w:rsid w:val="00711CC6"/>
    <w:rsid w:val="00711F3F"/>
    <w:rsid w:val="007120C6"/>
    <w:rsid w:val="00712467"/>
    <w:rsid w:val="007129AA"/>
    <w:rsid w:val="00712E49"/>
    <w:rsid w:val="0071348E"/>
    <w:rsid w:val="0071349D"/>
    <w:rsid w:val="00713CCC"/>
    <w:rsid w:val="00714004"/>
    <w:rsid w:val="007140CC"/>
    <w:rsid w:val="00714435"/>
    <w:rsid w:val="00714786"/>
    <w:rsid w:val="00715620"/>
    <w:rsid w:val="00715E6C"/>
    <w:rsid w:val="00715F83"/>
    <w:rsid w:val="0071676E"/>
    <w:rsid w:val="007173A8"/>
    <w:rsid w:val="00720162"/>
    <w:rsid w:val="00720211"/>
    <w:rsid w:val="00720415"/>
    <w:rsid w:val="007209DF"/>
    <w:rsid w:val="00720C8E"/>
    <w:rsid w:val="007213EE"/>
    <w:rsid w:val="007217BB"/>
    <w:rsid w:val="00721A27"/>
    <w:rsid w:val="00722414"/>
    <w:rsid w:val="007225B8"/>
    <w:rsid w:val="007228B0"/>
    <w:rsid w:val="0072319E"/>
    <w:rsid w:val="00723253"/>
    <w:rsid w:val="00724350"/>
    <w:rsid w:val="007243F9"/>
    <w:rsid w:val="00724A35"/>
    <w:rsid w:val="0072536B"/>
    <w:rsid w:val="00725616"/>
    <w:rsid w:val="00725E0C"/>
    <w:rsid w:val="007260A5"/>
    <w:rsid w:val="0072730C"/>
    <w:rsid w:val="007308B1"/>
    <w:rsid w:val="00730A7E"/>
    <w:rsid w:val="00730CAE"/>
    <w:rsid w:val="00731599"/>
    <w:rsid w:val="00732256"/>
    <w:rsid w:val="007322A9"/>
    <w:rsid w:val="007323EF"/>
    <w:rsid w:val="00732ECA"/>
    <w:rsid w:val="00732F7C"/>
    <w:rsid w:val="00733A34"/>
    <w:rsid w:val="00733B1C"/>
    <w:rsid w:val="00733B46"/>
    <w:rsid w:val="00734048"/>
    <w:rsid w:val="00735087"/>
    <w:rsid w:val="00735F08"/>
    <w:rsid w:val="00737168"/>
    <w:rsid w:val="0074009A"/>
    <w:rsid w:val="00740225"/>
    <w:rsid w:val="007407CF"/>
    <w:rsid w:val="007407FD"/>
    <w:rsid w:val="00740F7D"/>
    <w:rsid w:val="00741599"/>
    <w:rsid w:val="00741808"/>
    <w:rsid w:val="007418D8"/>
    <w:rsid w:val="00741E94"/>
    <w:rsid w:val="00742074"/>
    <w:rsid w:val="007433EC"/>
    <w:rsid w:val="0074377B"/>
    <w:rsid w:val="00743A9F"/>
    <w:rsid w:val="0074417C"/>
    <w:rsid w:val="00744997"/>
    <w:rsid w:val="00744BF5"/>
    <w:rsid w:val="00744CE6"/>
    <w:rsid w:val="00744F8D"/>
    <w:rsid w:val="0074626A"/>
    <w:rsid w:val="0074666B"/>
    <w:rsid w:val="00746747"/>
    <w:rsid w:val="00746D18"/>
    <w:rsid w:val="00746D80"/>
    <w:rsid w:val="007471C5"/>
    <w:rsid w:val="0074732E"/>
    <w:rsid w:val="00747527"/>
    <w:rsid w:val="00747DB1"/>
    <w:rsid w:val="00747FD3"/>
    <w:rsid w:val="007502E7"/>
    <w:rsid w:val="00751C41"/>
    <w:rsid w:val="00751C42"/>
    <w:rsid w:val="00751C81"/>
    <w:rsid w:val="00752198"/>
    <w:rsid w:val="00752239"/>
    <w:rsid w:val="007530BA"/>
    <w:rsid w:val="0075319E"/>
    <w:rsid w:val="007535A8"/>
    <w:rsid w:val="007536F6"/>
    <w:rsid w:val="00753B52"/>
    <w:rsid w:val="00753D89"/>
    <w:rsid w:val="00754077"/>
    <w:rsid w:val="00754365"/>
    <w:rsid w:val="00754AB8"/>
    <w:rsid w:val="00754AF6"/>
    <w:rsid w:val="00754B1A"/>
    <w:rsid w:val="00755A01"/>
    <w:rsid w:val="00756C46"/>
    <w:rsid w:val="00757183"/>
    <w:rsid w:val="0075732A"/>
    <w:rsid w:val="0075795B"/>
    <w:rsid w:val="00757C8F"/>
    <w:rsid w:val="00757F18"/>
    <w:rsid w:val="00757F6C"/>
    <w:rsid w:val="00760229"/>
    <w:rsid w:val="007602C1"/>
    <w:rsid w:val="00760538"/>
    <w:rsid w:val="00760A45"/>
    <w:rsid w:val="00760A4D"/>
    <w:rsid w:val="007615A4"/>
    <w:rsid w:val="00762830"/>
    <w:rsid w:val="007630CC"/>
    <w:rsid w:val="00763635"/>
    <w:rsid w:val="0076367B"/>
    <w:rsid w:val="0076389E"/>
    <w:rsid w:val="00763B39"/>
    <w:rsid w:val="0076473F"/>
    <w:rsid w:val="00764BD0"/>
    <w:rsid w:val="00764CB9"/>
    <w:rsid w:val="00764CD1"/>
    <w:rsid w:val="00764E63"/>
    <w:rsid w:val="00764E79"/>
    <w:rsid w:val="0076559B"/>
    <w:rsid w:val="007657F6"/>
    <w:rsid w:val="0076588A"/>
    <w:rsid w:val="00765C50"/>
    <w:rsid w:val="00765CCF"/>
    <w:rsid w:val="00765E94"/>
    <w:rsid w:val="00765FEA"/>
    <w:rsid w:val="0077078A"/>
    <w:rsid w:val="00770D35"/>
    <w:rsid w:val="00770F74"/>
    <w:rsid w:val="0077113A"/>
    <w:rsid w:val="00771946"/>
    <w:rsid w:val="00771BDD"/>
    <w:rsid w:val="007724A5"/>
    <w:rsid w:val="007725E4"/>
    <w:rsid w:val="00772E73"/>
    <w:rsid w:val="00772F25"/>
    <w:rsid w:val="0077353C"/>
    <w:rsid w:val="00773762"/>
    <w:rsid w:val="007740A9"/>
    <w:rsid w:val="0077417B"/>
    <w:rsid w:val="00774297"/>
    <w:rsid w:val="007749F0"/>
    <w:rsid w:val="007751BD"/>
    <w:rsid w:val="00775465"/>
    <w:rsid w:val="007759AC"/>
    <w:rsid w:val="007761CA"/>
    <w:rsid w:val="007761FB"/>
    <w:rsid w:val="00777631"/>
    <w:rsid w:val="007779B8"/>
    <w:rsid w:val="007779D7"/>
    <w:rsid w:val="007811DF"/>
    <w:rsid w:val="007811F1"/>
    <w:rsid w:val="00782B04"/>
    <w:rsid w:val="00782EA0"/>
    <w:rsid w:val="00783FFF"/>
    <w:rsid w:val="0078414A"/>
    <w:rsid w:val="007845AD"/>
    <w:rsid w:val="00784C31"/>
    <w:rsid w:val="00784C99"/>
    <w:rsid w:val="0078507C"/>
    <w:rsid w:val="00786ED9"/>
    <w:rsid w:val="007872EF"/>
    <w:rsid w:val="007874CE"/>
    <w:rsid w:val="0078753B"/>
    <w:rsid w:val="00787763"/>
    <w:rsid w:val="0078782D"/>
    <w:rsid w:val="00787B98"/>
    <w:rsid w:val="00787D3C"/>
    <w:rsid w:val="00787FFD"/>
    <w:rsid w:val="0079022A"/>
    <w:rsid w:val="00790A9D"/>
    <w:rsid w:val="007910D2"/>
    <w:rsid w:val="0079193B"/>
    <w:rsid w:val="007922F5"/>
    <w:rsid w:val="00792404"/>
    <w:rsid w:val="0079253F"/>
    <w:rsid w:val="00792F50"/>
    <w:rsid w:val="00792F85"/>
    <w:rsid w:val="007937D7"/>
    <w:rsid w:val="007937FE"/>
    <w:rsid w:val="00793837"/>
    <w:rsid w:val="00793FA6"/>
    <w:rsid w:val="00794134"/>
    <w:rsid w:val="007948C2"/>
    <w:rsid w:val="00794FED"/>
    <w:rsid w:val="007959FC"/>
    <w:rsid w:val="00797096"/>
    <w:rsid w:val="007978E9"/>
    <w:rsid w:val="00797BA9"/>
    <w:rsid w:val="007A0749"/>
    <w:rsid w:val="007A08A5"/>
    <w:rsid w:val="007A0E5D"/>
    <w:rsid w:val="007A1C6F"/>
    <w:rsid w:val="007A1CF7"/>
    <w:rsid w:val="007A299D"/>
    <w:rsid w:val="007A2D0A"/>
    <w:rsid w:val="007A3227"/>
    <w:rsid w:val="007A331F"/>
    <w:rsid w:val="007A34FD"/>
    <w:rsid w:val="007A386C"/>
    <w:rsid w:val="007A3BEC"/>
    <w:rsid w:val="007A4235"/>
    <w:rsid w:val="007A4881"/>
    <w:rsid w:val="007A4DBB"/>
    <w:rsid w:val="007A52CE"/>
    <w:rsid w:val="007A53F8"/>
    <w:rsid w:val="007A5980"/>
    <w:rsid w:val="007A59E6"/>
    <w:rsid w:val="007A5D1E"/>
    <w:rsid w:val="007A629E"/>
    <w:rsid w:val="007A67C0"/>
    <w:rsid w:val="007A6EC2"/>
    <w:rsid w:val="007A79D0"/>
    <w:rsid w:val="007B04F8"/>
    <w:rsid w:val="007B078A"/>
    <w:rsid w:val="007B0B78"/>
    <w:rsid w:val="007B0F6E"/>
    <w:rsid w:val="007B0F71"/>
    <w:rsid w:val="007B188F"/>
    <w:rsid w:val="007B1D99"/>
    <w:rsid w:val="007B20DC"/>
    <w:rsid w:val="007B2694"/>
    <w:rsid w:val="007B289F"/>
    <w:rsid w:val="007B3403"/>
    <w:rsid w:val="007B3685"/>
    <w:rsid w:val="007B38AE"/>
    <w:rsid w:val="007B39ED"/>
    <w:rsid w:val="007B39F2"/>
    <w:rsid w:val="007B4B77"/>
    <w:rsid w:val="007B4BE3"/>
    <w:rsid w:val="007B4CEF"/>
    <w:rsid w:val="007B5249"/>
    <w:rsid w:val="007B532C"/>
    <w:rsid w:val="007B544F"/>
    <w:rsid w:val="007B59CE"/>
    <w:rsid w:val="007B5EBE"/>
    <w:rsid w:val="007B672F"/>
    <w:rsid w:val="007B6760"/>
    <w:rsid w:val="007B6824"/>
    <w:rsid w:val="007B7400"/>
    <w:rsid w:val="007B78DF"/>
    <w:rsid w:val="007B7AF3"/>
    <w:rsid w:val="007B7BE0"/>
    <w:rsid w:val="007B7F50"/>
    <w:rsid w:val="007C0533"/>
    <w:rsid w:val="007C0AD9"/>
    <w:rsid w:val="007C1245"/>
    <w:rsid w:val="007C1C96"/>
    <w:rsid w:val="007C1EC4"/>
    <w:rsid w:val="007C1F05"/>
    <w:rsid w:val="007C2C44"/>
    <w:rsid w:val="007C2E87"/>
    <w:rsid w:val="007C326F"/>
    <w:rsid w:val="007C348B"/>
    <w:rsid w:val="007C37F2"/>
    <w:rsid w:val="007C4278"/>
    <w:rsid w:val="007C439E"/>
    <w:rsid w:val="007C44D4"/>
    <w:rsid w:val="007C4810"/>
    <w:rsid w:val="007C51A5"/>
    <w:rsid w:val="007C538A"/>
    <w:rsid w:val="007C55BB"/>
    <w:rsid w:val="007C59FC"/>
    <w:rsid w:val="007C6613"/>
    <w:rsid w:val="007C67A5"/>
    <w:rsid w:val="007C6D88"/>
    <w:rsid w:val="007C7360"/>
    <w:rsid w:val="007C7634"/>
    <w:rsid w:val="007C7814"/>
    <w:rsid w:val="007C7E81"/>
    <w:rsid w:val="007D0CE4"/>
    <w:rsid w:val="007D12B4"/>
    <w:rsid w:val="007D16C6"/>
    <w:rsid w:val="007D292B"/>
    <w:rsid w:val="007D2AB0"/>
    <w:rsid w:val="007D2E64"/>
    <w:rsid w:val="007D3052"/>
    <w:rsid w:val="007D31EE"/>
    <w:rsid w:val="007D34A5"/>
    <w:rsid w:val="007D3B3F"/>
    <w:rsid w:val="007D3E3F"/>
    <w:rsid w:val="007D4444"/>
    <w:rsid w:val="007D5018"/>
    <w:rsid w:val="007D51CB"/>
    <w:rsid w:val="007D5292"/>
    <w:rsid w:val="007D5E22"/>
    <w:rsid w:val="007D5FA1"/>
    <w:rsid w:val="007D65D3"/>
    <w:rsid w:val="007D7247"/>
    <w:rsid w:val="007D753A"/>
    <w:rsid w:val="007D754B"/>
    <w:rsid w:val="007D7555"/>
    <w:rsid w:val="007E00B4"/>
    <w:rsid w:val="007E0B31"/>
    <w:rsid w:val="007E17CA"/>
    <w:rsid w:val="007E1C7C"/>
    <w:rsid w:val="007E28E7"/>
    <w:rsid w:val="007E30D7"/>
    <w:rsid w:val="007E30F2"/>
    <w:rsid w:val="007E3510"/>
    <w:rsid w:val="007E393C"/>
    <w:rsid w:val="007E3DD2"/>
    <w:rsid w:val="007E3E6D"/>
    <w:rsid w:val="007E41DF"/>
    <w:rsid w:val="007E43C4"/>
    <w:rsid w:val="007E454B"/>
    <w:rsid w:val="007E524F"/>
    <w:rsid w:val="007E59E8"/>
    <w:rsid w:val="007E5A93"/>
    <w:rsid w:val="007E5FAA"/>
    <w:rsid w:val="007E611D"/>
    <w:rsid w:val="007E693E"/>
    <w:rsid w:val="007E6F46"/>
    <w:rsid w:val="007E7AC9"/>
    <w:rsid w:val="007F0111"/>
    <w:rsid w:val="007F0B7C"/>
    <w:rsid w:val="007F0F25"/>
    <w:rsid w:val="007F13F4"/>
    <w:rsid w:val="007F1A2E"/>
    <w:rsid w:val="007F1AF1"/>
    <w:rsid w:val="007F2014"/>
    <w:rsid w:val="007F22E7"/>
    <w:rsid w:val="007F2849"/>
    <w:rsid w:val="007F2D48"/>
    <w:rsid w:val="007F300E"/>
    <w:rsid w:val="007F3425"/>
    <w:rsid w:val="007F366E"/>
    <w:rsid w:val="007F378A"/>
    <w:rsid w:val="007F4372"/>
    <w:rsid w:val="007F489E"/>
    <w:rsid w:val="007F49C1"/>
    <w:rsid w:val="007F4F0A"/>
    <w:rsid w:val="007F53FB"/>
    <w:rsid w:val="007F5658"/>
    <w:rsid w:val="007F5932"/>
    <w:rsid w:val="007F5C17"/>
    <w:rsid w:val="007F6166"/>
    <w:rsid w:val="007F6B76"/>
    <w:rsid w:val="007F6DBF"/>
    <w:rsid w:val="007F6ED9"/>
    <w:rsid w:val="007F7152"/>
    <w:rsid w:val="007F7B98"/>
    <w:rsid w:val="007F7E31"/>
    <w:rsid w:val="007F7F5E"/>
    <w:rsid w:val="00800B77"/>
    <w:rsid w:val="00800D85"/>
    <w:rsid w:val="00800E59"/>
    <w:rsid w:val="00801864"/>
    <w:rsid w:val="00801EC1"/>
    <w:rsid w:val="00801F21"/>
    <w:rsid w:val="00802189"/>
    <w:rsid w:val="00802C3E"/>
    <w:rsid w:val="0080378A"/>
    <w:rsid w:val="00803A1B"/>
    <w:rsid w:val="00803AE4"/>
    <w:rsid w:val="0080404C"/>
    <w:rsid w:val="008040AB"/>
    <w:rsid w:val="008041BC"/>
    <w:rsid w:val="00805B70"/>
    <w:rsid w:val="00805E67"/>
    <w:rsid w:val="008060CA"/>
    <w:rsid w:val="0080660B"/>
    <w:rsid w:val="00806EEF"/>
    <w:rsid w:val="0080706F"/>
    <w:rsid w:val="008071CB"/>
    <w:rsid w:val="00807689"/>
    <w:rsid w:val="008076E0"/>
    <w:rsid w:val="00807841"/>
    <w:rsid w:val="00807B3F"/>
    <w:rsid w:val="008107C6"/>
    <w:rsid w:val="00810BD8"/>
    <w:rsid w:val="0081120E"/>
    <w:rsid w:val="008112CD"/>
    <w:rsid w:val="008115B9"/>
    <w:rsid w:val="008119D2"/>
    <w:rsid w:val="008119E0"/>
    <w:rsid w:val="008122F0"/>
    <w:rsid w:val="008132DA"/>
    <w:rsid w:val="0081394F"/>
    <w:rsid w:val="00813C0B"/>
    <w:rsid w:val="00813E1B"/>
    <w:rsid w:val="00813E4D"/>
    <w:rsid w:val="00814780"/>
    <w:rsid w:val="00814F30"/>
    <w:rsid w:val="0081522A"/>
    <w:rsid w:val="0081576E"/>
    <w:rsid w:val="00816512"/>
    <w:rsid w:val="008169CD"/>
    <w:rsid w:val="00816ACC"/>
    <w:rsid w:val="00816BD0"/>
    <w:rsid w:val="00816CA5"/>
    <w:rsid w:val="00816E2E"/>
    <w:rsid w:val="00816F67"/>
    <w:rsid w:val="00817102"/>
    <w:rsid w:val="008212B5"/>
    <w:rsid w:val="008212C8"/>
    <w:rsid w:val="00821348"/>
    <w:rsid w:val="00821634"/>
    <w:rsid w:val="00821CD6"/>
    <w:rsid w:val="008227BF"/>
    <w:rsid w:val="00823026"/>
    <w:rsid w:val="008233CD"/>
    <w:rsid w:val="008243D4"/>
    <w:rsid w:val="008245C4"/>
    <w:rsid w:val="00824643"/>
    <w:rsid w:val="008248A5"/>
    <w:rsid w:val="008249B8"/>
    <w:rsid w:val="00824CAE"/>
    <w:rsid w:val="00825147"/>
    <w:rsid w:val="00825195"/>
    <w:rsid w:val="0082555C"/>
    <w:rsid w:val="00826136"/>
    <w:rsid w:val="00826208"/>
    <w:rsid w:val="00826E25"/>
    <w:rsid w:val="00827408"/>
    <w:rsid w:val="00827645"/>
    <w:rsid w:val="00827759"/>
    <w:rsid w:val="0082796B"/>
    <w:rsid w:val="00827C88"/>
    <w:rsid w:val="00827DE7"/>
    <w:rsid w:val="0083061D"/>
    <w:rsid w:val="008310EA"/>
    <w:rsid w:val="008310FD"/>
    <w:rsid w:val="008312F2"/>
    <w:rsid w:val="0083135D"/>
    <w:rsid w:val="008316CF"/>
    <w:rsid w:val="00832155"/>
    <w:rsid w:val="0083242F"/>
    <w:rsid w:val="008327A2"/>
    <w:rsid w:val="008327E1"/>
    <w:rsid w:val="0083281E"/>
    <w:rsid w:val="00833AD2"/>
    <w:rsid w:val="00833AE5"/>
    <w:rsid w:val="00834C11"/>
    <w:rsid w:val="0083624A"/>
    <w:rsid w:val="008362A8"/>
    <w:rsid w:val="008369BB"/>
    <w:rsid w:val="00836B07"/>
    <w:rsid w:val="00836EFE"/>
    <w:rsid w:val="008376D6"/>
    <w:rsid w:val="0084047F"/>
    <w:rsid w:val="008406C6"/>
    <w:rsid w:val="00840723"/>
    <w:rsid w:val="00840B48"/>
    <w:rsid w:val="00841089"/>
    <w:rsid w:val="00841558"/>
    <w:rsid w:val="00841B76"/>
    <w:rsid w:val="0084262B"/>
    <w:rsid w:val="00843201"/>
    <w:rsid w:val="00843A60"/>
    <w:rsid w:val="00843CA9"/>
    <w:rsid w:val="00843EE0"/>
    <w:rsid w:val="00844432"/>
    <w:rsid w:val="00845938"/>
    <w:rsid w:val="00845CF3"/>
    <w:rsid w:val="008463E1"/>
    <w:rsid w:val="008467E8"/>
    <w:rsid w:val="0084738C"/>
    <w:rsid w:val="008473F2"/>
    <w:rsid w:val="008476BA"/>
    <w:rsid w:val="008476E3"/>
    <w:rsid w:val="00850172"/>
    <w:rsid w:val="008512E7"/>
    <w:rsid w:val="0085224D"/>
    <w:rsid w:val="00852458"/>
    <w:rsid w:val="00852B75"/>
    <w:rsid w:val="00852DF3"/>
    <w:rsid w:val="00852EAA"/>
    <w:rsid w:val="00853370"/>
    <w:rsid w:val="00854C89"/>
    <w:rsid w:val="00854E4D"/>
    <w:rsid w:val="00854F58"/>
    <w:rsid w:val="0085580C"/>
    <w:rsid w:val="00855847"/>
    <w:rsid w:val="008559EE"/>
    <w:rsid w:val="00856278"/>
    <w:rsid w:val="008567B3"/>
    <w:rsid w:val="00856AEB"/>
    <w:rsid w:val="008572FB"/>
    <w:rsid w:val="00857933"/>
    <w:rsid w:val="008607C5"/>
    <w:rsid w:val="00860A66"/>
    <w:rsid w:val="008618F3"/>
    <w:rsid w:val="008619DE"/>
    <w:rsid w:val="00861AF4"/>
    <w:rsid w:val="00861CF8"/>
    <w:rsid w:val="0086227B"/>
    <w:rsid w:val="008625F3"/>
    <w:rsid w:val="00862919"/>
    <w:rsid w:val="00863628"/>
    <w:rsid w:val="008637B6"/>
    <w:rsid w:val="00863823"/>
    <w:rsid w:val="00863EE4"/>
    <w:rsid w:val="00864308"/>
    <w:rsid w:val="008648D6"/>
    <w:rsid w:val="008648E1"/>
    <w:rsid w:val="00864E2E"/>
    <w:rsid w:val="00864F76"/>
    <w:rsid w:val="00865D6C"/>
    <w:rsid w:val="0086653A"/>
    <w:rsid w:val="008666A7"/>
    <w:rsid w:val="00866789"/>
    <w:rsid w:val="00866857"/>
    <w:rsid w:val="00866F7E"/>
    <w:rsid w:val="008674F2"/>
    <w:rsid w:val="00867753"/>
    <w:rsid w:val="00870B9C"/>
    <w:rsid w:val="00870E96"/>
    <w:rsid w:val="008713AB"/>
    <w:rsid w:val="008719EF"/>
    <w:rsid w:val="00872DD8"/>
    <w:rsid w:val="00873049"/>
    <w:rsid w:val="00873062"/>
    <w:rsid w:val="008730CB"/>
    <w:rsid w:val="00873466"/>
    <w:rsid w:val="008736DC"/>
    <w:rsid w:val="00873EA4"/>
    <w:rsid w:val="00873FF7"/>
    <w:rsid w:val="0087415D"/>
    <w:rsid w:val="00874461"/>
    <w:rsid w:val="00874587"/>
    <w:rsid w:val="008745AF"/>
    <w:rsid w:val="00874660"/>
    <w:rsid w:val="00874687"/>
    <w:rsid w:val="00874949"/>
    <w:rsid w:val="00874D93"/>
    <w:rsid w:val="00874DEC"/>
    <w:rsid w:val="008753C5"/>
    <w:rsid w:val="00875AC1"/>
    <w:rsid w:val="008763B3"/>
    <w:rsid w:val="00876503"/>
    <w:rsid w:val="00876878"/>
    <w:rsid w:val="00876F66"/>
    <w:rsid w:val="00876F8E"/>
    <w:rsid w:val="00877873"/>
    <w:rsid w:val="0087799B"/>
    <w:rsid w:val="00877ECC"/>
    <w:rsid w:val="00880098"/>
    <w:rsid w:val="008801F2"/>
    <w:rsid w:val="0088076D"/>
    <w:rsid w:val="00880A43"/>
    <w:rsid w:val="0088104A"/>
    <w:rsid w:val="0088181E"/>
    <w:rsid w:val="00882009"/>
    <w:rsid w:val="00883250"/>
    <w:rsid w:val="00883747"/>
    <w:rsid w:val="00883C0D"/>
    <w:rsid w:val="00884851"/>
    <w:rsid w:val="00884A78"/>
    <w:rsid w:val="00884E2C"/>
    <w:rsid w:val="00884F8C"/>
    <w:rsid w:val="00885A87"/>
    <w:rsid w:val="00885BD6"/>
    <w:rsid w:val="00885F20"/>
    <w:rsid w:val="00886412"/>
    <w:rsid w:val="008869CC"/>
    <w:rsid w:val="00886DBB"/>
    <w:rsid w:val="00886E98"/>
    <w:rsid w:val="0088717B"/>
    <w:rsid w:val="00887B1F"/>
    <w:rsid w:val="00887D47"/>
    <w:rsid w:val="00887E98"/>
    <w:rsid w:val="008904BB"/>
    <w:rsid w:val="00890920"/>
    <w:rsid w:val="00890D11"/>
    <w:rsid w:val="00890F21"/>
    <w:rsid w:val="00891017"/>
    <w:rsid w:val="00891DD5"/>
    <w:rsid w:val="00892834"/>
    <w:rsid w:val="00892A54"/>
    <w:rsid w:val="00892CE5"/>
    <w:rsid w:val="008933EC"/>
    <w:rsid w:val="008943D3"/>
    <w:rsid w:val="00894456"/>
    <w:rsid w:val="00894562"/>
    <w:rsid w:val="00894AE1"/>
    <w:rsid w:val="00894F64"/>
    <w:rsid w:val="0089529C"/>
    <w:rsid w:val="0089546C"/>
    <w:rsid w:val="00895B6C"/>
    <w:rsid w:val="00895DDC"/>
    <w:rsid w:val="00896009"/>
    <w:rsid w:val="008963D9"/>
    <w:rsid w:val="0089664F"/>
    <w:rsid w:val="0089665A"/>
    <w:rsid w:val="008966B1"/>
    <w:rsid w:val="00896ECE"/>
    <w:rsid w:val="008978D2"/>
    <w:rsid w:val="008A042D"/>
    <w:rsid w:val="008A08CB"/>
    <w:rsid w:val="008A0F55"/>
    <w:rsid w:val="008A13BF"/>
    <w:rsid w:val="008A185E"/>
    <w:rsid w:val="008A1949"/>
    <w:rsid w:val="008A1B8E"/>
    <w:rsid w:val="008A1F20"/>
    <w:rsid w:val="008A1FDE"/>
    <w:rsid w:val="008A219C"/>
    <w:rsid w:val="008A285A"/>
    <w:rsid w:val="008A2ED6"/>
    <w:rsid w:val="008A40FA"/>
    <w:rsid w:val="008A43E3"/>
    <w:rsid w:val="008A45AE"/>
    <w:rsid w:val="008A4C94"/>
    <w:rsid w:val="008A5C15"/>
    <w:rsid w:val="008A5F43"/>
    <w:rsid w:val="008A6ED8"/>
    <w:rsid w:val="008A7F71"/>
    <w:rsid w:val="008B03A1"/>
    <w:rsid w:val="008B04F1"/>
    <w:rsid w:val="008B065B"/>
    <w:rsid w:val="008B07C5"/>
    <w:rsid w:val="008B089D"/>
    <w:rsid w:val="008B0929"/>
    <w:rsid w:val="008B0A30"/>
    <w:rsid w:val="008B138D"/>
    <w:rsid w:val="008B168D"/>
    <w:rsid w:val="008B1698"/>
    <w:rsid w:val="008B16B3"/>
    <w:rsid w:val="008B188D"/>
    <w:rsid w:val="008B1C9B"/>
    <w:rsid w:val="008B2292"/>
    <w:rsid w:val="008B2CDD"/>
    <w:rsid w:val="008B410E"/>
    <w:rsid w:val="008B4B2C"/>
    <w:rsid w:val="008B4D4C"/>
    <w:rsid w:val="008B5099"/>
    <w:rsid w:val="008B5574"/>
    <w:rsid w:val="008B5639"/>
    <w:rsid w:val="008B5665"/>
    <w:rsid w:val="008B5696"/>
    <w:rsid w:val="008B660E"/>
    <w:rsid w:val="008B6E20"/>
    <w:rsid w:val="008C09AB"/>
    <w:rsid w:val="008C0EA4"/>
    <w:rsid w:val="008C1D7D"/>
    <w:rsid w:val="008C268A"/>
    <w:rsid w:val="008C2AEB"/>
    <w:rsid w:val="008C32F3"/>
    <w:rsid w:val="008C3387"/>
    <w:rsid w:val="008C3697"/>
    <w:rsid w:val="008C419D"/>
    <w:rsid w:val="008C4722"/>
    <w:rsid w:val="008C493E"/>
    <w:rsid w:val="008C52AC"/>
    <w:rsid w:val="008C5407"/>
    <w:rsid w:val="008C5A26"/>
    <w:rsid w:val="008C5E2A"/>
    <w:rsid w:val="008C5EE9"/>
    <w:rsid w:val="008C611C"/>
    <w:rsid w:val="008C6DC2"/>
    <w:rsid w:val="008C71D3"/>
    <w:rsid w:val="008C74AA"/>
    <w:rsid w:val="008C7786"/>
    <w:rsid w:val="008C7FED"/>
    <w:rsid w:val="008D01C2"/>
    <w:rsid w:val="008D09C6"/>
    <w:rsid w:val="008D0BF9"/>
    <w:rsid w:val="008D2182"/>
    <w:rsid w:val="008D254E"/>
    <w:rsid w:val="008D275D"/>
    <w:rsid w:val="008D30F7"/>
    <w:rsid w:val="008D3121"/>
    <w:rsid w:val="008D3E37"/>
    <w:rsid w:val="008D416A"/>
    <w:rsid w:val="008D479A"/>
    <w:rsid w:val="008D504C"/>
    <w:rsid w:val="008D513D"/>
    <w:rsid w:val="008D51E3"/>
    <w:rsid w:val="008D51F1"/>
    <w:rsid w:val="008D5B6C"/>
    <w:rsid w:val="008D7413"/>
    <w:rsid w:val="008D7C8D"/>
    <w:rsid w:val="008E0450"/>
    <w:rsid w:val="008E0751"/>
    <w:rsid w:val="008E0BB8"/>
    <w:rsid w:val="008E12A6"/>
    <w:rsid w:val="008E1BD3"/>
    <w:rsid w:val="008E309C"/>
    <w:rsid w:val="008E378C"/>
    <w:rsid w:val="008E42F7"/>
    <w:rsid w:val="008E46DB"/>
    <w:rsid w:val="008E574B"/>
    <w:rsid w:val="008E58F5"/>
    <w:rsid w:val="008E599A"/>
    <w:rsid w:val="008E5C0A"/>
    <w:rsid w:val="008E5F75"/>
    <w:rsid w:val="008E6006"/>
    <w:rsid w:val="008E63FC"/>
    <w:rsid w:val="008E6991"/>
    <w:rsid w:val="008E6DC6"/>
    <w:rsid w:val="008E7578"/>
    <w:rsid w:val="008E796F"/>
    <w:rsid w:val="008E7C7F"/>
    <w:rsid w:val="008E7F3E"/>
    <w:rsid w:val="008F0125"/>
    <w:rsid w:val="008F01C8"/>
    <w:rsid w:val="008F0C74"/>
    <w:rsid w:val="008F1429"/>
    <w:rsid w:val="008F1C5D"/>
    <w:rsid w:val="008F1CB7"/>
    <w:rsid w:val="008F229E"/>
    <w:rsid w:val="008F2361"/>
    <w:rsid w:val="008F26F6"/>
    <w:rsid w:val="008F34D2"/>
    <w:rsid w:val="008F3764"/>
    <w:rsid w:val="008F3C67"/>
    <w:rsid w:val="008F505B"/>
    <w:rsid w:val="008F5C89"/>
    <w:rsid w:val="008F5CA1"/>
    <w:rsid w:val="008F6B14"/>
    <w:rsid w:val="008F70C7"/>
    <w:rsid w:val="008F724D"/>
    <w:rsid w:val="008F7930"/>
    <w:rsid w:val="008F7B3C"/>
    <w:rsid w:val="009002B0"/>
    <w:rsid w:val="009004E0"/>
    <w:rsid w:val="00900A7D"/>
    <w:rsid w:val="009010FC"/>
    <w:rsid w:val="00901618"/>
    <w:rsid w:val="00902588"/>
    <w:rsid w:val="0090259E"/>
    <w:rsid w:val="00902AFB"/>
    <w:rsid w:val="00902D1F"/>
    <w:rsid w:val="00904949"/>
    <w:rsid w:val="00904A11"/>
    <w:rsid w:val="00904FED"/>
    <w:rsid w:val="0090519C"/>
    <w:rsid w:val="00905DDB"/>
    <w:rsid w:val="00905E76"/>
    <w:rsid w:val="009064DA"/>
    <w:rsid w:val="009064F8"/>
    <w:rsid w:val="009067CB"/>
    <w:rsid w:val="00906AC4"/>
    <w:rsid w:val="00907060"/>
    <w:rsid w:val="00907166"/>
    <w:rsid w:val="009071D5"/>
    <w:rsid w:val="009078CA"/>
    <w:rsid w:val="00907AB9"/>
    <w:rsid w:val="00910088"/>
    <w:rsid w:val="009105EA"/>
    <w:rsid w:val="009108A1"/>
    <w:rsid w:val="00911492"/>
    <w:rsid w:val="0091186D"/>
    <w:rsid w:val="00911EAD"/>
    <w:rsid w:val="009125DA"/>
    <w:rsid w:val="00912635"/>
    <w:rsid w:val="00912E35"/>
    <w:rsid w:val="00912FF0"/>
    <w:rsid w:val="009136EF"/>
    <w:rsid w:val="00913D1E"/>
    <w:rsid w:val="00914481"/>
    <w:rsid w:val="009144D9"/>
    <w:rsid w:val="009146DB"/>
    <w:rsid w:val="00914A3B"/>
    <w:rsid w:val="00914AB3"/>
    <w:rsid w:val="00914C27"/>
    <w:rsid w:val="00915D8C"/>
    <w:rsid w:val="009174D0"/>
    <w:rsid w:val="0091776D"/>
    <w:rsid w:val="009179B6"/>
    <w:rsid w:val="00917C41"/>
    <w:rsid w:val="00917CF7"/>
    <w:rsid w:val="0092092A"/>
    <w:rsid w:val="009215FE"/>
    <w:rsid w:val="00921A6B"/>
    <w:rsid w:val="009224DE"/>
    <w:rsid w:val="00922A8F"/>
    <w:rsid w:val="00922AB4"/>
    <w:rsid w:val="00922BFA"/>
    <w:rsid w:val="009234BC"/>
    <w:rsid w:val="00924210"/>
    <w:rsid w:val="00924D80"/>
    <w:rsid w:val="0092512D"/>
    <w:rsid w:val="009253D2"/>
    <w:rsid w:val="00925EE1"/>
    <w:rsid w:val="009260F8"/>
    <w:rsid w:val="00926B42"/>
    <w:rsid w:val="00926BB6"/>
    <w:rsid w:val="0092752C"/>
    <w:rsid w:val="00927AC5"/>
    <w:rsid w:val="00930551"/>
    <w:rsid w:val="009305A1"/>
    <w:rsid w:val="00930684"/>
    <w:rsid w:val="009316C3"/>
    <w:rsid w:val="00931A31"/>
    <w:rsid w:val="00932175"/>
    <w:rsid w:val="0093220C"/>
    <w:rsid w:val="009325D9"/>
    <w:rsid w:val="00932B93"/>
    <w:rsid w:val="0093334C"/>
    <w:rsid w:val="009334BD"/>
    <w:rsid w:val="00933DEE"/>
    <w:rsid w:val="00933E2B"/>
    <w:rsid w:val="0093422F"/>
    <w:rsid w:val="00934566"/>
    <w:rsid w:val="00934649"/>
    <w:rsid w:val="00934973"/>
    <w:rsid w:val="00934AE7"/>
    <w:rsid w:val="00934C0A"/>
    <w:rsid w:val="00934CA5"/>
    <w:rsid w:val="009354E7"/>
    <w:rsid w:val="009362A8"/>
    <w:rsid w:val="009362C8"/>
    <w:rsid w:val="00936A1F"/>
    <w:rsid w:val="00936CAA"/>
    <w:rsid w:val="00940344"/>
    <w:rsid w:val="009406C5"/>
    <w:rsid w:val="00940914"/>
    <w:rsid w:val="0094156F"/>
    <w:rsid w:val="00941799"/>
    <w:rsid w:val="009417B0"/>
    <w:rsid w:val="00941C6C"/>
    <w:rsid w:val="009420AD"/>
    <w:rsid w:val="009421E8"/>
    <w:rsid w:val="009422CD"/>
    <w:rsid w:val="0094285B"/>
    <w:rsid w:val="0094350F"/>
    <w:rsid w:val="00943CE8"/>
    <w:rsid w:val="00943DF6"/>
    <w:rsid w:val="00944191"/>
    <w:rsid w:val="00944452"/>
    <w:rsid w:val="009444B7"/>
    <w:rsid w:val="0094492F"/>
    <w:rsid w:val="00944D89"/>
    <w:rsid w:val="00944DB9"/>
    <w:rsid w:val="00945446"/>
    <w:rsid w:val="0094563F"/>
    <w:rsid w:val="0094582E"/>
    <w:rsid w:val="00945B88"/>
    <w:rsid w:val="00945C0E"/>
    <w:rsid w:val="00945DB8"/>
    <w:rsid w:val="0094620E"/>
    <w:rsid w:val="00947691"/>
    <w:rsid w:val="00947AFC"/>
    <w:rsid w:val="0095064B"/>
    <w:rsid w:val="009512DF"/>
    <w:rsid w:val="009512F4"/>
    <w:rsid w:val="00951982"/>
    <w:rsid w:val="00952B96"/>
    <w:rsid w:val="009533B2"/>
    <w:rsid w:val="00953A47"/>
    <w:rsid w:val="00953A9B"/>
    <w:rsid w:val="00953E8F"/>
    <w:rsid w:val="009544FE"/>
    <w:rsid w:val="00954618"/>
    <w:rsid w:val="0095513C"/>
    <w:rsid w:val="009557BC"/>
    <w:rsid w:val="0095683C"/>
    <w:rsid w:val="00956CE7"/>
    <w:rsid w:val="00956DDF"/>
    <w:rsid w:val="009576D6"/>
    <w:rsid w:val="0095773C"/>
    <w:rsid w:val="00957A45"/>
    <w:rsid w:val="00960CA3"/>
    <w:rsid w:val="00961328"/>
    <w:rsid w:val="0096195C"/>
    <w:rsid w:val="00961EAD"/>
    <w:rsid w:val="00962BB0"/>
    <w:rsid w:val="00962C2E"/>
    <w:rsid w:val="00962F0F"/>
    <w:rsid w:val="0096362E"/>
    <w:rsid w:val="0096441C"/>
    <w:rsid w:val="00964470"/>
    <w:rsid w:val="00964B3A"/>
    <w:rsid w:val="00964E01"/>
    <w:rsid w:val="0096534E"/>
    <w:rsid w:val="009655AC"/>
    <w:rsid w:val="00966D22"/>
    <w:rsid w:val="0096710B"/>
    <w:rsid w:val="00967A27"/>
    <w:rsid w:val="00967A4A"/>
    <w:rsid w:val="00967B2C"/>
    <w:rsid w:val="00970FA6"/>
    <w:rsid w:val="00971557"/>
    <w:rsid w:val="009716F0"/>
    <w:rsid w:val="00971736"/>
    <w:rsid w:val="00971A25"/>
    <w:rsid w:val="00971C6C"/>
    <w:rsid w:val="00972597"/>
    <w:rsid w:val="00972DCC"/>
    <w:rsid w:val="00973655"/>
    <w:rsid w:val="00973900"/>
    <w:rsid w:val="009748D4"/>
    <w:rsid w:val="00974EB2"/>
    <w:rsid w:val="00975261"/>
    <w:rsid w:val="00975880"/>
    <w:rsid w:val="0097660F"/>
    <w:rsid w:val="00976B5A"/>
    <w:rsid w:val="00976BC5"/>
    <w:rsid w:val="00976D95"/>
    <w:rsid w:val="009772C8"/>
    <w:rsid w:val="00977CD2"/>
    <w:rsid w:val="00977D26"/>
    <w:rsid w:val="00977E69"/>
    <w:rsid w:val="0098170D"/>
    <w:rsid w:val="00981790"/>
    <w:rsid w:val="00981A0A"/>
    <w:rsid w:val="00982445"/>
    <w:rsid w:val="00982874"/>
    <w:rsid w:val="009835D5"/>
    <w:rsid w:val="0098389D"/>
    <w:rsid w:val="00983977"/>
    <w:rsid w:val="00983A06"/>
    <w:rsid w:val="00983CA9"/>
    <w:rsid w:val="00983D63"/>
    <w:rsid w:val="00984046"/>
    <w:rsid w:val="0098519C"/>
    <w:rsid w:val="009859D9"/>
    <w:rsid w:val="00985A6D"/>
    <w:rsid w:val="00985A84"/>
    <w:rsid w:val="00985AC3"/>
    <w:rsid w:val="00985C85"/>
    <w:rsid w:val="00986F8F"/>
    <w:rsid w:val="0098704E"/>
    <w:rsid w:val="009879CD"/>
    <w:rsid w:val="00987E02"/>
    <w:rsid w:val="009901C2"/>
    <w:rsid w:val="0099034D"/>
    <w:rsid w:val="0099061F"/>
    <w:rsid w:val="00990F3E"/>
    <w:rsid w:val="009914EE"/>
    <w:rsid w:val="0099158B"/>
    <w:rsid w:val="00992B8E"/>
    <w:rsid w:val="00992F0A"/>
    <w:rsid w:val="00993A2D"/>
    <w:rsid w:val="00993B7D"/>
    <w:rsid w:val="00993BEF"/>
    <w:rsid w:val="00993C62"/>
    <w:rsid w:val="00993FD0"/>
    <w:rsid w:val="00994170"/>
    <w:rsid w:val="0099437D"/>
    <w:rsid w:val="00994807"/>
    <w:rsid w:val="00994A0F"/>
    <w:rsid w:val="009952DD"/>
    <w:rsid w:val="00995558"/>
    <w:rsid w:val="00995B4F"/>
    <w:rsid w:val="00996371"/>
    <w:rsid w:val="00996EA3"/>
    <w:rsid w:val="00996FBA"/>
    <w:rsid w:val="0099738C"/>
    <w:rsid w:val="00997CFB"/>
    <w:rsid w:val="00997E29"/>
    <w:rsid w:val="009A005D"/>
    <w:rsid w:val="009A077F"/>
    <w:rsid w:val="009A0DCB"/>
    <w:rsid w:val="009A1593"/>
    <w:rsid w:val="009A1A4F"/>
    <w:rsid w:val="009A204C"/>
    <w:rsid w:val="009A2D94"/>
    <w:rsid w:val="009A2E85"/>
    <w:rsid w:val="009A3279"/>
    <w:rsid w:val="009A3722"/>
    <w:rsid w:val="009A3A36"/>
    <w:rsid w:val="009A3D24"/>
    <w:rsid w:val="009A581B"/>
    <w:rsid w:val="009A5FB1"/>
    <w:rsid w:val="009B05EB"/>
    <w:rsid w:val="009B082D"/>
    <w:rsid w:val="009B0B90"/>
    <w:rsid w:val="009B0E80"/>
    <w:rsid w:val="009B0FC7"/>
    <w:rsid w:val="009B1750"/>
    <w:rsid w:val="009B191A"/>
    <w:rsid w:val="009B2A52"/>
    <w:rsid w:val="009B2C42"/>
    <w:rsid w:val="009B3EAB"/>
    <w:rsid w:val="009B429B"/>
    <w:rsid w:val="009B429F"/>
    <w:rsid w:val="009B4390"/>
    <w:rsid w:val="009B565B"/>
    <w:rsid w:val="009B5BE9"/>
    <w:rsid w:val="009B637C"/>
    <w:rsid w:val="009B656E"/>
    <w:rsid w:val="009B6AC8"/>
    <w:rsid w:val="009B7D78"/>
    <w:rsid w:val="009C011E"/>
    <w:rsid w:val="009C05E7"/>
    <w:rsid w:val="009C0AB1"/>
    <w:rsid w:val="009C107D"/>
    <w:rsid w:val="009C18A6"/>
    <w:rsid w:val="009C1962"/>
    <w:rsid w:val="009C29D4"/>
    <w:rsid w:val="009C2DFA"/>
    <w:rsid w:val="009C30AB"/>
    <w:rsid w:val="009C30CA"/>
    <w:rsid w:val="009C3736"/>
    <w:rsid w:val="009C38F3"/>
    <w:rsid w:val="009C3C0E"/>
    <w:rsid w:val="009C3E9A"/>
    <w:rsid w:val="009C3F51"/>
    <w:rsid w:val="009C4636"/>
    <w:rsid w:val="009C47D2"/>
    <w:rsid w:val="009C4A26"/>
    <w:rsid w:val="009C4B49"/>
    <w:rsid w:val="009C4D75"/>
    <w:rsid w:val="009C4E26"/>
    <w:rsid w:val="009C5300"/>
    <w:rsid w:val="009C6D42"/>
    <w:rsid w:val="009C6DDC"/>
    <w:rsid w:val="009C6F3F"/>
    <w:rsid w:val="009C6FE8"/>
    <w:rsid w:val="009C701A"/>
    <w:rsid w:val="009C7C17"/>
    <w:rsid w:val="009D00F0"/>
    <w:rsid w:val="009D01A7"/>
    <w:rsid w:val="009D050D"/>
    <w:rsid w:val="009D0560"/>
    <w:rsid w:val="009D1496"/>
    <w:rsid w:val="009D1794"/>
    <w:rsid w:val="009D17A0"/>
    <w:rsid w:val="009D214E"/>
    <w:rsid w:val="009D2DD5"/>
    <w:rsid w:val="009D31A2"/>
    <w:rsid w:val="009D33AB"/>
    <w:rsid w:val="009D3BEF"/>
    <w:rsid w:val="009D40F9"/>
    <w:rsid w:val="009D448B"/>
    <w:rsid w:val="009D44AF"/>
    <w:rsid w:val="009D4767"/>
    <w:rsid w:val="009D48B4"/>
    <w:rsid w:val="009D57AA"/>
    <w:rsid w:val="009D5B91"/>
    <w:rsid w:val="009D5CF3"/>
    <w:rsid w:val="009D62CA"/>
    <w:rsid w:val="009D7136"/>
    <w:rsid w:val="009D743B"/>
    <w:rsid w:val="009D748F"/>
    <w:rsid w:val="009E0A8D"/>
    <w:rsid w:val="009E0C50"/>
    <w:rsid w:val="009E0C9B"/>
    <w:rsid w:val="009E1AA8"/>
    <w:rsid w:val="009E2433"/>
    <w:rsid w:val="009E289F"/>
    <w:rsid w:val="009E28F6"/>
    <w:rsid w:val="009E2D2E"/>
    <w:rsid w:val="009E317F"/>
    <w:rsid w:val="009E3416"/>
    <w:rsid w:val="009E3818"/>
    <w:rsid w:val="009E3AE0"/>
    <w:rsid w:val="009E5314"/>
    <w:rsid w:val="009E5C14"/>
    <w:rsid w:val="009E5EC6"/>
    <w:rsid w:val="009E64C4"/>
    <w:rsid w:val="009E6766"/>
    <w:rsid w:val="009E6E67"/>
    <w:rsid w:val="009E7179"/>
    <w:rsid w:val="009E7194"/>
    <w:rsid w:val="009E7AF7"/>
    <w:rsid w:val="009F0B93"/>
    <w:rsid w:val="009F0D9B"/>
    <w:rsid w:val="009F1024"/>
    <w:rsid w:val="009F1E52"/>
    <w:rsid w:val="009F29D4"/>
    <w:rsid w:val="009F2B62"/>
    <w:rsid w:val="009F31CF"/>
    <w:rsid w:val="009F367C"/>
    <w:rsid w:val="009F3AE4"/>
    <w:rsid w:val="009F3D6E"/>
    <w:rsid w:val="009F43D0"/>
    <w:rsid w:val="009F5398"/>
    <w:rsid w:val="009F541C"/>
    <w:rsid w:val="009F563C"/>
    <w:rsid w:val="009F57A3"/>
    <w:rsid w:val="009F5B9F"/>
    <w:rsid w:val="009F5D11"/>
    <w:rsid w:val="009F62B0"/>
    <w:rsid w:val="009F633B"/>
    <w:rsid w:val="009F6E79"/>
    <w:rsid w:val="009F7997"/>
    <w:rsid w:val="00A01C6F"/>
    <w:rsid w:val="00A0211D"/>
    <w:rsid w:val="00A026B6"/>
    <w:rsid w:val="00A02CAA"/>
    <w:rsid w:val="00A032C0"/>
    <w:rsid w:val="00A034E0"/>
    <w:rsid w:val="00A03565"/>
    <w:rsid w:val="00A03705"/>
    <w:rsid w:val="00A03740"/>
    <w:rsid w:val="00A03F70"/>
    <w:rsid w:val="00A0401C"/>
    <w:rsid w:val="00A0529E"/>
    <w:rsid w:val="00A05F36"/>
    <w:rsid w:val="00A06071"/>
    <w:rsid w:val="00A064A0"/>
    <w:rsid w:val="00A066BC"/>
    <w:rsid w:val="00A06B00"/>
    <w:rsid w:val="00A06E5C"/>
    <w:rsid w:val="00A07F88"/>
    <w:rsid w:val="00A10082"/>
    <w:rsid w:val="00A106A7"/>
    <w:rsid w:val="00A10C5B"/>
    <w:rsid w:val="00A1106C"/>
    <w:rsid w:val="00A113C4"/>
    <w:rsid w:val="00A117C4"/>
    <w:rsid w:val="00A11894"/>
    <w:rsid w:val="00A11CA4"/>
    <w:rsid w:val="00A11F01"/>
    <w:rsid w:val="00A1216C"/>
    <w:rsid w:val="00A1299F"/>
    <w:rsid w:val="00A12A32"/>
    <w:rsid w:val="00A12B5B"/>
    <w:rsid w:val="00A13438"/>
    <w:rsid w:val="00A137A8"/>
    <w:rsid w:val="00A14523"/>
    <w:rsid w:val="00A14D39"/>
    <w:rsid w:val="00A15D51"/>
    <w:rsid w:val="00A15E52"/>
    <w:rsid w:val="00A16188"/>
    <w:rsid w:val="00A167B2"/>
    <w:rsid w:val="00A17073"/>
    <w:rsid w:val="00A20575"/>
    <w:rsid w:val="00A20EFB"/>
    <w:rsid w:val="00A20F80"/>
    <w:rsid w:val="00A21876"/>
    <w:rsid w:val="00A21FE0"/>
    <w:rsid w:val="00A22DD7"/>
    <w:rsid w:val="00A23CCC"/>
    <w:rsid w:val="00A23DCA"/>
    <w:rsid w:val="00A24191"/>
    <w:rsid w:val="00A24756"/>
    <w:rsid w:val="00A24BB7"/>
    <w:rsid w:val="00A254A2"/>
    <w:rsid w:val="00A25B12"/>
    <w:rsid w:val="00A25E45"/>
    <w:rsid w:val="00A26387"/>
    <w:rsid w:val="00A2641C"/>
    <w:rsid w:val="00A26906"/>
    <w:rsid w:val="00A270D3"/>
    <w:rsid w:val="00A27428"/>
    <w:rsid w:val="00A2744B"/>
    <w:rsid w:val="00A27495"/>
    <w:rsid w:val="00A27D6B"/>
    <w:rsid w:val="00A30182"/>
    <w:rsid w:val="00A30959"/>
    <w:rsid w:val="00A30D71"/>
    <w:rsid w:val="00A30FC4"/>
    <w:rsid w:val="00A3140E"/>
    <w:rsid w:val="00A319F7"/>
    <w:rsid w:val="00A31B12"/>
    <w:rsid w:val="00A31C81"/>
    <w:rsid w:val="00A31CD2"/>
    <w:rsid w:val="00A31D02"/>
    <w:rsid w:val="00A31D55"/>
    <w:rsid w:val="00A32C25"/>
    <w:rsid w:val="00A3305C"/>
    <w:rsid w:val="00A342CE"/>
    <w:rsid w:val="00A345C0"/>
    <w:rsid w:val="00A346A5"/>
    <w:rsid w:val="00A34E55"/>
    <w:rsid w:val="00A356B4"/>
    <w:rsid w:val="00A357DF"/>
    <w:rsid w:val="00A36360"/>
    <w:rsid w:val="00A3672A"/>
    <w:rsid w:val="00A36CB8"/>
    <w:rsid w:val="00A3731E"/>
    <w:rsid w:val="00A376A2"/>
    <w:rsid w:val="00A37F8A"/>
    <w:rsid w:val="00A40C79"/>
    <w:rsid w:val="00A40D3B"/>
    <w:rsid w:val="00A411A4"/>
    <w:rsid w:val="00A41572"/>
    <w:rsid w:val="00A42410"/>
    <w:rsid w:val="00A4249A"/>
    <w:rsid w:val="00A42B3E"/>
    <w:rsid w:val="00A430C3"/>
    <w:rsid w:val="00A44186"/>
    <w:rsid w:val="00A443B7"/>
    <w:rsid w:val="00A44454"/>
    <w:rsid w:val="00A456D6"/>
    <w:rsid w:val="00A45884"/>
    <w:rsid w:val="00A45B0B"/>
    <w:rsid w:val="00A45E73"/>
    <w:rsid w:val="00A46567"/>
    <w:rsid w:val="00A4690E"/>
    <w:rsid w:val="00A46E3C"/>
    <w:rsid w:val="00A4752C"/>
    <w:rsid w:val="00A4757D"/>
    <w:rsid w:val="00A479D4"/>
    <w:rsid w:val="00A47FFA"/>
    <w:rsid w:val="00A50B0C"/>
    <w:rsid w:val="00A518EF"/>
    <w:rsid w:val="00A5227F"/>
    <w:rsid w:val="00A5271C"/>
    <w:rsid w:val="00A52968"/>
    <w:rsid w:val="00A52ECE"/>
    <w:rsid w:val="00A5387D"/>
    <w:rsid w:val="00A53910"/>
    <w:rsid w:val="00A53C22"/>
    <w:rsid w:val="00A54748"/>
    <w:rsid w:val="00A549A6"/>
    <w:rsid w:val="00A54B09"/>
    <w:rsid w:val="00A54E03"/>
    <w:rsid w:val="00A54F0B"/>
    <w:rsid w:val="00A559B1"/>
    <w:rsid w:val="00A55A95"/>
    <w:rsid w:val="00A56BB6"/>
    <w:rsid w:val="00A56CEE"/>
    <w:rsid w:val="00A57BB9"/>
    <w:rsid w:val="00A57BFE"/>
    <w:rsid w:val="00A57D2B"/>
    <w:rsid w:val="00A606DB"/>
    <w:rsid w:val="00A60867"/>
    <w:rsid w:val="00A60B04"/>
    <w:rsid w:val="00A60FC3"/>
    <w:rsid w:val="00A611B8"/>
    <w:rsid w:val="00A61CEB"/>
    <w:rsid w:val="00A62072"/>
    <w:rsid w:val="00A62D2E"/>
    <w:rsid w:val="00A63360"/>
    <w:rsid w:val="00A63B32"/>
    <w:rsid w:val="00A642FF"/>
    <w:rsid w:val="00A672B3"/>
    <w:rsid w:val="00A6732D"/>
    <w:rsid w:val="00A674BC"/>
    <w:rsid w:val="00A70679"/>
    <w:rsid w:val="00A70FE9"/>
    <w:rsid w:val="00A714AB"/>
    <w:rsid w:val="00A7259E"/>
    <w:rsid w:val="00A72814"/>
    <w:rsid w:val="00A72FB8"/>
    <w:rsid w:val="00A730C8"/>
    <w:rsid w:val="00A734CE"/>
    <w:rsid w:val="00A73637"/>
    <w:rsid w:val="00A73D97"/>
    <w:rsid w:val="00A741E8"/>
    <w:rsid w:val="00A744B9"/>
    <w:rsid w:val="00A74B12"/>
    <w:rsid w:val="00A75668"/>
    <w:rsid w:val="00A75A86"/>
    <w:rsid w:val="00A76170"/>
    <w:rsid w:val="00A761CC"/>
    <w:rsid w:val="00A76297"/>
    <w:rsid w:val="00A762EA"/>
    <w:rsid w:val="00A76F0D"/>
    <w:rsid w:val="00A773FE"/>
    <w:rsid w:val="00A778A7"/>
    <w:rsid w:val="00A77A04"/>
    <w:rsid w:val="00A77AAF"/>
    <w:rsid w:val="00A77C20"/>
    <w:rsid w:val="00A77DAE"/>
    <w:rsid w:val="00A803FC"/>
    <w:rsid w:val="00A806B7"/>
    <w:rsid w:val="00A80B90"/>
    <w:rsid w:val="00A80CDB"/>
    <w:rsid w:val="00A81FEF"/>
    <w:rsid w:val="00A82C83"/>
    <w:rsid w:val="00A834EC"/>
    <w:rsid w:val="00A8384D"/>
    <w:rsid w:val="00A839DA"/>
    <w:rsid w:val="00A840C1"/>
    <w:rsid w:val="00A84189"/>
    <w:rsid w:val="00A8473A"/>
    <w:rsid w:val="00A84F1A"/>
    <w:rsid w:val="00A86CCB"/>
    <w:rsid w:val="00A90074"/>
    <w:rsid w:val="00A903E0"/>
    <w:rsid w:val="00A9059F"/>
    <w:rsid w:val="00A90693"/>
    <w:rsid w:val="00A9078B"/>
    <w:rsid w:val="00A90D7B"/>
    <w:rsid w:val="00A9107A"/>
    <w:rsid w:val="00A9182F"/>
    <w:rsid w:val="00A91BEE"/>
    <w:rsid w:val="00A927A7"/>
    <w:rsid w:val="00A928DE"/>
    <w:rsid w:val="00A9297F"/>
    <w:rsid w:val="00A929BC"/>
    <w:rsid w:val="00A929CB"/>
    <w:rsid w:val="00A92BDE"/>
    <w:rsid w:val="00A93576"/>
    <w:rsid w:val="00A94278"/>
    <w:rsid w:val="00A94469"/>
    <w:rsid w:val="00A9461D"/>
    <w:rsid w:val="00A94DDF"/>
    <w:rsid w:val="00A958B5"/>
    <w:rsid w:val="00A95BB0"/>
    <w:rsid w:val="00A95BBE"/>
    <w:rsid w:val="00A96189"/>
    <w:rsid w:val="00A96207"/>
    <w:rsid w:val="00A96841"/>
    <w:rsid w:val="00A96B25"/>
    <w:rsid w:val="00A974BC"/>
    <w:rsid w:val="00A97958"/>
    <w:rsid w:val="00A97F69"/>
    <w:rsid w:val="00AA04BB"/>
    <w:rsid w:val="00AA08BC"/>
    <w:rsid w:val="00AA08CA"/>
    <w:rsid w:val="00AA091E"/>
    <w:rsid w:val="00AA0E55"/>
    <w:rsid w:val="00AA1067"/>
    <w:rsid w:val="00AA1D04"/>
    <w:rsid w:val="00AA2189"/>
    <w:rsid w:val="00AA2725"/>
    <w:rsid w:val="00AA2B27"/>
    <w:rsid w:val="00AA306E"/>
    <w:rsid w:val="00AA30FC"/>
    <w:rsid w:val="00AA3127"/>
    <w:rsid w:val="00AA3205"/>
    <w:rsid w:val="00AA40C9"/>
    <w:rsid w:val="00AA410B"/>
    <w:rsid w:val="00AA5496"/>
    <w:rsid w:val="00AA5855"/>
    <w:rsid w:val="00AA5A3F"/>
    <w:rsid w:val="00AA653D"/>
    <w:rsid w:val="00AA6788"/>
    <w:rsid w:val="00AA6DF4"/>
    <w:rsid w:val="00AA7344"/>
    <w:rsid w:val="00AA772D"/>
    <w:rsid w:val="00AA7AA2"/>
    <w:rsid w:val="00AB0455"/>
    <w:rsid w:val="00AB0930"/>
    <w:rsid w:val="00AB0D7D"/>
    <w:rsid w:val="00AB18CA"/>
    <w:rsid w:val="00AB19D6"/>
    <w:rsid w:val="00AB1D80"/>
    <w:rsid w:val="00AB1E12"/>
    <w:rsid w:val="00AB1F92"/>
    <w:rsid w:val="00AB21BE"/>
    <w:rsid w:val="00AB227E"/>
    <w:rsid w:val="00AB24DA"/>
    <w:rsid w:val="00AB2893"/>
    <w:rsid w:val="00AB2E70"/>
    <w:rsid w:val="00AB3116"/>
    <w:rsid w:val="00AB31B2"/>
    <w:rsid w:val="00AB3C68"/>
    <w:rsid w:val="00AB4417"/>
    <w:rsid w:val="00AB4A4E"/>
    <w:rsid w:val="00AB4BE6"/>
    <w:rsid w:val="00AB580A"/>
    <w:rsid w:val="00AB618C"/>
    <w:rsid w:val="00AB677B"/>
    <w:rsid w:val="00AB6CA4"/>
    <w:rsid w:val="00AB7004"/>
    <w:rsid w:val="00AB73B0"/>
    <w:rsid w:val="00AB763D"/>
    <w:rsid w:val="00AB77AF"/>
    <w:rsid w:val="00AC0D67"/>
    <w:rsid w:val="00AC0F1E"/>
    <w:rsid w:val="00AC1281"/>
    <w:rsid w:val="00AC1641"/>
    <w:rsid w:val="00AC1824"/>
    <w:rsid w:val="00AC1EBF"/>
    <w:rsid w:val="00AC2178"/>
    <w:rsid w:val="00AC2862"/>
    <w:rsid w:val="00AC2960"/>
    <w:rsid w:val="00AC2A22"/>
    <w:rsid w:val="00AC2B42"/>
    <w:rsid w:val="00AC3585"/>
    <w:rsid w:val="00AC3595"/>
    <w:rsid w:val="00AC397F"/>
    <w:rsid w:val="00AC4042"/>
    <w:rsid w:val="00AC46DF"/>
    <w:rsid w:val="00AC4985"/>
    <w:rsid w:val="00AC4F1B"/>
    <w:rsid w:val="00AC59DE"/>
    <w:rsid w:val="00AC5DDF"/>
    <w:rsid w:val="00AC5F57"/>
    <w:rsid w:val="00AC644A"/>
    <w:rsid w:val="00AC6622"/>
    <w:rsid w:val="00AC6E4D"/>
    <w:rsid w:val="00AC724A"/>
    <w:rsid w:val="00AC77F9"/>
    <w:rsid w:val="00AC7B44"/>
    <w:rsid w:val="00AC7FE4"/>
    <w:rsid w:val="00AD00E9"/>
    <w:rsid w:val="00AD0272"/>
    <w:rsid w:val="00AD0478"/>
    <w:rsid w:val="00AD049B"/>
    <w:rsid w:val="00AD04D9"/>
    <w:rsid w:val="00AD093B"/>
    <w:rsid w:val="00AD0C2C"/>
    <w:rsid w:val="00AD0CEA"/>
    <w:rsid w:val="00AD3288"/>
    <w:rsid w:val="00AD3A59"/>
    <w:rsid w:val="00AD3F48"/>
    <w:rsid w:val="00AD430A"/>
    <w:rsid w:val="00AD45EB"/>
    <w:rsid w:val="00AD4BFC"/>
    <w:rsid w:val="00AD4C24"/>
    <w:rsid w:val="00AD5E51"/>
    <w:rsid w:val="00AD64D0"/>
    <w:rsid w:val="00AD6658"/>
    <w:rsid w:val="00AD6780"/>
    <w:rsid w:val="00AD6A0F"/>
    <w:rsid w:val="00AD71D9"/>
    <w:rsid w:val="00AD72CC"/>
    <w:rsid w:val="00AD789C"/>
    <w:rsid w:val="00AE0196"/>
    <w:rsid w:val="00AE09E6"/>
    <w:rsid w:val="00AE1E15"/>
    <w:rsid w:val="00AE281E"/>
    <w:rsid w:val="00AE3D63"/>
    <w:rsid w:val="00AE4073"/>
    <w:rsid w:val="00AE4600"/>
    <w:rsid w:val="00AE53A1"/>
    <w:rsid w:val="00AE5596"/>
    <w:rsid w:val="00AE57B9"/>
    <w:rsid w:val="00AE5F7E"/>
    <w:rsid w:val="00AE5F8D"/>
    <w:rsid w:val="00AE60AF"/>
    <w:rsid w:val="00AE68EC"/>
    <w:rsid w:val="00AE6B5B"/>
    <w:rsid w:val="00AE6C67"/>
    <w:rsid w:val="00AE6DE7"/>
    <w:rsid w:val="00AE78D1"/>
    <w:rsid w:val="00AF016C"/>
    <w:rsid w:val="00AF0823"/>
    <w:rsid w:val="00AF0925"/>
    <w:rsid w:val="00AF0CFE"/>
    <w:rsid w:val="00AF10D6"/>
    <w:rsid w:val="00AF1ED5"/>
    <w:rsid w:val="00AF2340"/>
    <w:rsid w:val="00AF2CE2"/>
    <w:rsid w:val="00AF2E20"/>
    <w:rsid w:val="00AF2E2D"/>
    <w:rsid w:val="00AF2F58"/>
    <w:rsid w:val="00AF3235"/>
    <w:rsid w:val="00AF32F5"/>
    <w:rsid w:val="00AF3FAD"/>
    <w:rsid w:val="00AF44AF"/>
    <w:rsid w:val="00AF4931"/>
    <w:rsid w:val="00AF4992"/>
    <w:rsid w:val="00AF5285"/>
    <w:rsid w:val="00AF578B"/>
    <w:rsid w:val="00AF611A"/>
    <w:rsid w:val="00AF70DC"/>
    <w:rsid w:val="00AF7397"/>
    <w:rsid w:val="00AF7737"/>
    <w:rsid w:val="00AF7899"/>
    <w:rsid w:val="00AF7996"/>
    <w:rsid w:val="00AF7EAE"/>
    <w:rsid w:val="00AF7FE5"/>
    <w:rsid w:val="00B00335"/>
    <w:rsid w:val="00B00678"/>
    <w:rsid w:val="00B00CB8"/>
    <w:rsid w:val="00B00CCB"/>
    <w:rsid w:val="00B0127A"/>
    <w:rsid w:val="00B013FB"/>
    <w:rsid w:val="00B01D68"/>
    <w:rsid w:val="00B0226F"/>
    <w:rsid w:val="00B033CE"/>
    <w:rsid w:val="00B03643"/>
    <w:rsid w:val="00B036EB"/>
    <w:rsid w:val="00B03EC3"/>
    <w:rsid w:val="00B04169"/>
    <w:rsid w:val="00B04601"/>
    <w:rsid w:val="00B050F3"/>
    <w:rsid w:val="00B0589B"/>
    <w:rsid w:val="00B05BE0"/>
    <w:rsid w:val="00B05D86"/>
    <w:rsid w:val="00B05DDB"/>
    <w:rsid w:val="00B06AE9"/>
    <w:rsid w:val="00B075F2"/>
    <w:rsid w:val="00B10408"/>
    <w:rsid w:val="00B109AF"/>
    <w:rsid w:val="00B10DC2"/>
    <w:rsid w:val="00B11149"/>
    <w:rsid w:val="00B114EB"/>
    <w:rsid w:val="00B11BB8"/>
    <w:rsid w:val="00B12268"/>
    <w:rsid w:val="00B138FB"/>
    <w:rsid w:val="00B13AB9"/>
    <w:rsid w:val="00B144B1"/>
    <w:rsid w:val="00B14C1A"/>
    <w:rsid w:val="00B14CF5"/>
    <w:rsid w:val="00B14FCC"/>
    <w:rsid w:val="00B15181"/>
    <w:rsid w:val="00B154AD"/>
    <w:rsid w:val="00B1618D"/>
    <w:rsid w:val="00B161C2"/>
    <w:rsid w:val="00B16761"/>
    <w:rsid w:val="00B167AF"/>
    <w:rsid w:val="00B167D6"/>
    <w:rsid w:val="00B1707A"/>
    <w:rsid w:val="00B17623"/>
    <w:rsid w:val="00B176CD"/>
    <w:rsid w:val="00B179E7"/>
    <w:rsid w:val="00B17E5A"/>
    <w:rsid w:val="00B2082F"/>
    <w:rsid w:val="00B20B1D"/>
    <w:rsid w:val="00B21561"/>
    <w:rsid w:val="00B2159A"/>
    <w:rsid w:val="00B21A36"/>
    <w:rsid w:val="00B21A7F"/>
    <w:rsid w:val="00B21BE7"/>
    <w:rsid w:val="00B222B9"/>
    <w:rsid w:val="00B226F6"/>
    <w:rsid w:val="00B22B9B"/>
    <w:rsid w:val="00B22C7D"/>
    <w:rsid w:val="00B22FBF"/>
    <w:rsid w:val="00B23659"/>
    <w:rsid w:val="00B2402E"/>
    <w:rsid w:val="00B24343"/>
    <w:rsid w:val="00B2478F"/>
    <w:rsid w:val="00B24CE6"/>
    <w:rsid w:val="00B24DB0"/>
    <w:rsid w:val="00B24EC7"/>
    <w:rsid w:val="00B254D8"/>
    <w:rsid w:val="00B25CFA"/>
    <w:rsid w:val="00B25D4C"/>
    <w:rsid w:val="00B261C8"/>
    <w:rsid w:val="00B26520"/>
    <w:rsid w:val="00B268B7"/>
    <w:rsid w:val="00B26BA5"/>
    <w:rsid w:val="00B26F17"/>
    <w:rsid w:val="00B3033E"/>
    <w:rsid w:val="00B30AEB"/>
    <w:rsid w:val="00B3209A"/>
    <w:rsid w:val="00B322ED"/>
    <w:rsid w:val="00B32425"/>
    <w:rsid w:val="00B3276F"/>
    <w:rsid w:val="00B329D9"/>
    <w:rsid w:val="00B32C1A"/>
    <w:rsid w:val="00B3308A"/>
    <w:rsid w:val="00B330FE"/>
    <w:rsid w:val="00B33415"/>
    <w:rsid w:val="00B337C1"/>
    <w:rsid w:val="00B33A16"/>
    <w:rsid w:val="00B33CBD"/>
    <w:rsid w:val="00B3423E"/>
    <w:rsid w:val="00B34B02"/>
    <w:rsid w:val="00B34EC1"/>
    <w:rsid w:val="00B34F3A"/>
    <w:rsid w:val="00B3566C"/>
    <w:rsid w:val="00B357B9"/>
    <w:rsid w:val="00B36353"/>
    <w:rsid w:val="00B365C2"/>
    <w:rsid w:val="00B366B8"/>
    <w:rsid w:val="00B371FF"/>
    <w:rsid w:val="00B3768C"/>
    <w:rsid w:val="00B376F3"/>
    <w:rsid w:val="00B407A3"/>
    <w:rsid w:val="00B40B00"/>
    <w:rsid w:val="00B41169"/>
    <w:rsid w:val="00B418D4"/>
    <w:rsid w:val="00B41C30"/>
    <w:rsid w:val="00B42A55"/>
    <w:rsid w:val="00B42D8A"/>
    <w:rsid w:val="00B43252"/>
    <w:rsid w:val="00B43295"/>
    <w:rsid w:val="00B43A5D"/>
    <w:rsid w:val="00B43CFC"/>
    <w:rsid w:val="00B43D97"/>
    <w:rsid w:val="00B440AB"/>
    <w:rsid w:val="00B4486C"/>
    <w:rsid w:val="00B45154"/>
    <w:rsid w:val="00B457BF"/>
    <w:rsid w:val="00B4627B"/>
    <w:rsid w:val="00B466C7"/>
    <w:rsid w:val="00B46713"/>
    <w:rsid w:val="00B471DE"/>
    <w:rsid w:val="00B47366"/>
    <w:rsid w:val="00B478A6"/>
    <w:rsid w:val="00B47EAF"/>
    <w:rsid w:val="00B5038B"/>
    <w:rsid w:val="00B50FFF"/>
    <w:rsid w:val="00B514AA"/>
    <w:rsid w:val="00B515B4"/>
    <w:rsid w:val="00B5176C"/>
    <w:rsid w:val="00B525F8"/>
    <w:rsid w:val="00B529FE"/>
    <w:rsid w:val="00B537AB"/>
    <w:rsid w:val="00B53815"/>
    <w:rsid w:val="00B5401F"/>
    <w:rsid w:val="00B540AB"/>
    <w:rsid w:val="00B54340"/>
    <w:rsid w:val="00B5438B"/>
    <w:rsid w:val="00B54640"/>
    <w:rsid w:val="00B55B4B"/>
    <w:rsid w:val="00B56056"/>
    <w:rsid w:val="00B57477"/>
    <w:rsid w:val="00B57A79"/>
    <w:rsid w:val="00B57B13"/>
    <w:rsid w:val="00B57BD9"/>
    <w:rsid w:val="00B57C1E"/>
    <w:rsid w:val="00B61118"/>
    <w:rsid w:val="00B617BF"/>
    <w:rsid w:val="00B61B28"/>
    <w:rsid w:val="00B61DEC"/>
    <w:rsid w:val="00B62175"/>
    <w:rsid w:val="00B624FA"/>
    <w:rsid w:val="00B626B7"/>
    <w:rsid w:val="00B628D1"/>
    <w:rsid w:val="00B62A49"/>
    <w:rsid w:val="00B63B21"/>
    <w:rsid w:val="00B63D21"/>
    <w:rsid w:val="00B645DB"/>
    <w:rsid w:val="00B64A89"/>
    <w:rsid w:val="00B65517"/>
    <w:rsid w:val="00B663F4"/>
    <w:rsid w:val="00B676E7"/>
    <w:rsid w:val="00B67B53"/>
    <w:rsid w:val="00B70865"/>
    <w:rsid w:val="00B71428"/>
    <w:rsid w:val="00B717AA"/>
    <w:rsid w:val="00B720C7"/>
    <w:rsid w:val="00B7220A"/>
    <w:rsid w:val="00B725E0"/>
    <w:rsid w:val="00B7270E"/>
    <w:rsid w:val="00B7287C"/>
    <w:rsid w:val="00B73875"/>
    <w:rsid w:val="00B73D74"/>
    <w:rsid w:val="00B73DD7"/>
    <w:rsid w:val="00B73E80"/>
    <w:rsid w:val="00B74093"/>
    <w:rsid w:val="00B746AE"/>
    <w:rsid w:val="00B74DD7"/>
    <w:rsid w:val="00B75294"/>
    <w:rsid w:val="00B75435"/>
    <w:rsid w:val="00B75534"/>
    <w:rsid w:val="00B75864"/>
    <w:rsid w:val="00B758CA"/>
    <w:rsid w:val="00B760DE"/>
    <w:rsid w:val="00B761A5"/>
    <w:rsid w:val="00B7674C"/>
    <w:rsid w:val="00B7690D"/>
    <w:rsid w:val="00B775A0"/>
    <w:rsid w:val="00B777CE"/>
    <w:rsid w:val="00B7785D"/>
    <w:rsid w:val="00B77B0A"/>
    <w:rsid w:val="00B77C2B"/>
    <w:rsid w:val="00B804BF"/>
    <w:rsid w:val="00B8062F"/>
    <w:rsid w:val="00B8069B"/>
    <w:rsid w:val="00B80813"/>
    <w:rsid w:val="00B813AB"/>
    <w:rsid w:val="00B81A06"/>
    <w:rsid w:val="00B81BC3"/>
    <w:rsid w:val="00B82729"/>
    <w:rsid w:val="00B83FCF"/>
    <w:rsid w:val="00B84664"/>
    <w:rsid w:val="00B84729"/>
    <w:rsid w:val="00B84FCF"/>
    <w:rsid w:val="00B8537F"/>
    <w:rsid w:val="00B85E16"/>
    <w:rsid w:val="00B862A8"/>
    <w:rsid w:val="00B86AA4"/>
    <w:rsid w:val="00B86C8F"/>
    <w:rsid w:val="00B8729E"/>
    <w:rsid w:val="00B876A9"/>
    <w:rsid w:val="00B87B40"/>
    <w:rsid w:val="00B87ED2"/>
    <w:rsid w:val="00B90140"/>
    <w:rsid w:val="00B90174"/>
    <w:rsid w:val="00B902C4"/>
    <w:rsid w:val="00B90AD3"/>
    <w:rsid w:val="00B91827"/>
    <w:rsid w:val="00B91830"/>
    <w:rsid w:val="00B918C6"/>
    <w:rsid w:val="00B91D41"/>
    <w:rsid w:val="00B921AA"/>
    <w:rsid w:val="00B93BE9"/>
    <w:rsid w:val="00B9430B"/>
    <w:rsid w:val="00B943E5"/>
    <w:rsid w:val="00B95372"/>
    <w:rsid w:val="00B95410"/>
    <w:rsid w:val="00B9577C"/>
    <w:rsid w:val="00B967A8"/>
    <w:rsid w:val="00B96922"/>
    <w:rsid w:val="00B969E2"/>
    <w:rsid w:val="00B96EF0"/>
    <w:rsid w:val="00B972D9"/>
    <w:rsid w:val="00B97748"/>
    <w:rsid w:val="00B97E22"/>
    <w:rsid w:val="00BA03D9"/>
    <w:rsid w:val="00BA1CA5"/>
    <w:rsid w:val="00BA1D35"/>
    <w:rsid w:val="00BA1D83"/>
    <w:rsid w:val="00BA224D"/>
    <w:rsid w:val="00BA294C"/>
    <w:rsid w:val="00BA2997"/>
    <w:rsid w:val="00BA2A27"/>
    <w:rsid w:val="00BA2D33"/>
    <w:rsid w:val="00BA342A"/>
    <w:rsid w:val="00BA3911"/>
    <w:rsid w:val="00BA4BFD"/>
    <w:rsid w:val="00BA548A"/>
    <w:rsid w:val="00BA54B0"/>
    <w:rsid w:val="00BA58DA"/>
    <w:rsid w:val="00BA5950"/>
    <w:rsid w:val="00BA678F"/>
    <w:rsid w:val="00BA6830"/>
    <w:rsid w:val="00BA6B0B"/>
    <w:rsid w:val="00BA7680"/>
    <w:rsid w:val="00BA7797"/>
    <w:rsid w:val="00BA7886"/>
    <w:rsid w:val="00BB0742"/>
    <w:rsid w:val="00BB0D5E"/>
    <w:rsid w:val="00BB1AB6"/>
    <w:rsid w:val="00BB1C96"/>
    <w:rsid w:val="00BB207A"/>
    <w:rsid w:val="00BB26D4"/>
    <w:rsid w:val="00BB2C7A"/>
    <w:rsid w:val="00BB36B1"/>
    <w:rsid w:val="00BB39C2"/>
    <w:rsid w:val="00BB3E28"/>
    <w:rsid w:val="00BB4184"/>
    <w:rsid w:val="00BB44FA"/>
    <w:rsid w:val="00BB47F9"/>
    <w:rsid w:val="00BB4904"/>
    <w:rsid w:val="00BB4AE8"/>
    <w:rsid w:val="00BB4F4D"/>
    <w:rsid w:val="00BB511E"/>
    <w:rsid w:val="00BB5197"/>
    <w:rsid w:val="00BB51B8"/>
    <w:rsid w:val="00BB5447"/>
    <w:rsid w:val="00BB56DD"/>
    <w:rsid w:val="00BB60C8"/>
    <w:rsid w:val="00BB621B"/>
    <w:rsid w:val="00BB632B"/>
    <w:rsid w:val="00BB6673"/>
    <w:rsid w:val="00BB66E6"/>
    <w:rsid w:val="00BB6DF2"/>
    <w:rsid w:val="00BB6E11"/>
    <w:rsid w:val="00BB6F4E"/>
    <w:rsid w:val="00BB7366"/>
    <w:rsid w:val="00BB75B1"/>
    <w:rsid w:val="00BB7BA8"/>
    <w:rsid w:val="00BB7DBC"/>
    <w:rsid w:val="00BB7E57"/>
    <w:rsid w:val="00BC0281"/>
    <w:rsid w:val="00BC0322"/>
    <w:rsid w:val="00BC066C"/>
    <w:rsid w:val="00BC0A9C"/>
    <w:rsid w:val="00BC1718"/>
    <w:rsid w:val="00BC1A1E"/>
    <w:rsid w:val="00BC1A6A"/>
    <w:rsid w:val="00BC21FD"/>
    <w:rsid w:val="00BC2615"/>
    <w:rsid w:val="00BC27DC"/>
    <w:rsid w:val="00BC2A76"/>
    <w:rsid w:val="00BC2D50"/>
    <w:rsid w:val="00BC30E0"/>
    <w:rsid w:val="00BC39DB"/>
    <w:rsid w:val="00BC42B2"/>
    <w:rsid w:val="00BC493F"/>
    <w:rsid w:val="00BC4B92"/>
    <w:rsid w:val="00BC4E83"/>
    <w:rsid w:val="00BC4F43"/>
    <w:rsid w:val="00BC4F70"/>
    <w:rsid w:val="00BC508A"/>
    <w:rsid w:val="00BC576D"/>
    <w:rsid w:val="00BC649A"/>
    <w:rsid w:val="00BC7550"/>
    <w:rsid w:val="00BC77F9"/>
    <w:rsid w:val="00BC7ABF"/>
    <w:rsid w:val="00BC7B67"/>
    <w:rsid w:val="00BD04AA"/>
    <w:rsid w:val="00BD09A6"/>
    <w:rsid w:val="00BD0DC6"/>
    <w:rsid w:val="00BD14E6"/>
    <w:rsid w:val="00BD2F84"/>
    <w:rsid w:val="00BD31B6"/>
    <w:rsid w:val="00BD3312"/>
    <w:rsid w:val="00BD350F"/>
    <w:rsid w:val="00BD3604"/>
    <w:rsid w:val="00BD3A6E"/>
    <w:rsid w:val="00BD3CFF"/>
    <w:rsid w:val="00BD4683"/>
    <w:rsid w:val="00BD48CA"/>
    <w:rsid w:val="00BD4B43"/>
    <w:rsid w:val="00BD56E9"/>
    <w:rsid w:val="00BD58E2"/>
    <w:rsid w:val="00BD6B15"/>
    <w:rsid w:val="00BD6CBE"/>
    <w:rsid w:val="00BD6E31"/>
    <w:rsid w:val="00BD6F61"/>
    <w:rsid w:val="00BD70D6"/>
    <w:rsid w:val="00BD76EA"/>
    <w:rsid w:val="00BD7C31"/>
    <w:rsid w:val="00BE0096"/>
    <w:rsid w:val="00BE0C78"/>
    <w:rsid w:val="00BE0E3E"/>
    <w:rsid w:val="00BE1B41"/>
    <w:rsid w:val="00BE2626"/>
    <w:rsid w:val="00BE2B31"/>
    <w:rsid w:val="00BE36F9"/>
    <w:rsid w:val="00BE372A"/>
    <w:rsid w:val="00BE407D"/>
    <w:rsid w:val="00BE42AB"/>
    <w:rsid w:val="00BE42B8"/>
    <w:rsid w:val="00BE4400"/>
    <w:rsid w:val="00BE4C1A"/>
    <w:rsid w:val="00BE58BA"/>
    <w:rsid w:val="00BE5D26"/>
    <w:rsid w:val="00BE5EBD"/>
    <w:rsid w:val="00BE5FC4"/>
    <w:rsid w:val="00BE6850"/>
    <w:rsid w:val="00BE6996"/>
    <w:rsid w:val="00BE6ADC"/>
    <w:rsid w:val="00BE6F08"/>
    <w:rsid w:val="00BE7133"/>
    <w:rsid w:val="00BE7685"/>
    <w:rsid w:val="00BE792D"/>
    <w:rsid w:val="00BF0384"/>
    <w:rsid w:val="00BF117C"/>
    <w:rsid w:val="00BF225D"/>
    <w:rsid w:val="00BF25A7"/>
    <w:rsid w:val="00BF28B5"/>
    <w:rsid w:val="00BF2C2F"/>
    <w:rsid w:val="00BF2D13"/>
    <w:rsid w:val="00BF349D"/>
    <w:rsid w:val="00BF3752"/>
    <w:rsid w:val="00BF39C5"/>
    <w:rsid w:val="00BF3BE2"/>
    <w:rsid w:val="00BF4537"/>
    <w:rsid w:val="00BF4ECC"/>
    <w:rsid w:val="00BF516E"/>
    <w:rsid w:val="00BF52D7"/>
    <w:rsid w:val="00BF583E"/>
    <w:rsid w:val="00BF5AA8"/>
    <w:rsid w:val="00BF63D3"/>
    <w:rsid w:val="00BF6668"/>
    <w:rsid w:val="00BF6AD3"/>
    <w:rsid w:val="00BF6BE4"/>
    <w:rsid w:val="00BF72E5"/>
    <w:rsid w:val="00BF790A"/>
    <w:rsid w:val="00BF7E50"/>
    <w:rsid w:val="00C003AA"/>
    <w:rsid w:val="00C007D1"/>
    <w:rsid w:val="00C00A8A"/>
    <w:rsid w:val="00C010D5"/>
    <w:rsid w:val="00C01470"/>
    <w:rsid w:val="00C020BE"/>
    <w:rsid w:val="00C0218F"/>
    <w:rsid w:val="00C035CD"/>
    <w:rsid w:val="00C0375E"/>
    <w:rsid w:val="00C04218"/>
    <w:rsid w:val="00C043CE"/>
    <w:rsid w:val="00C045C8"/>
    <w:rsid w:val="00C04600"/>
    <w:rsid w:val="00C046C4"/>
    <w:rsid w:val="00C0556D"/>
    <w:rsid w:val="00C0567F"/>
    <w:rsid w:val="00C06252"/>
    <w:rsid w:val="00C06B5D"/>
    <w:rsid w:val="00C06F7B"/>
    <w:rsid w:val="00C06FA3"/>
    <w:rsid w:val="00C072D4"/>
    <w:rsid w:val="00C11BBE"/>
    <w:rsid w:val="00C12343"/>
    <w:rsid w:val="00C12C67"/>
    <w:rsid w:val="00C12CD1"/>
    <w:rsid w:val="00C131F7"/>
    <w:rsid w:val="00C13272"/>
    <w:rsid w:val="00C13826"/>
    <w:rsid w:val="00C13849"/>
    <w:rsid w:val="00C1408E"/>
    <w:rsid w:val="00C14288"/>
    <w:rsid w:val="00C1465D"/>
    <w:rsid w:val="00C155BA"/>
    <w:rsid w:val="00C15B14"/>
    <w:rsid w:val="00C161AC"/>
    <w:rsid w:val="00C1704C"/>
    <w:rsid w:val="00C1747C"/>
    <w:rsid w:val="00C17654"/>
    <w:rsid w:val="00C17831"/>
    <w:rsid w:val="00C179A1"/>
    <w:rsid w:val="00C208A4"/>
    <w:rsid w:val="00C20A8D"/>
    <w:rsid w:val="00C20C18"/>
    <w:rsid w:val="00C20C5C"/>
    <w:rsid w:val="00C20E88"/>
    <w:rsid w:val="00C210C9"/>
    <w:rsid w:val="00C2190F"/>
    <w:rsid w:val="00C221A2"/>
    <w:rsid w:val="00C22458"/>
    <w:rsid w:val="00C22C5F"/>
    <w:rsid w:val="00C23458"/>
    <w:rsid w:val="00C2348D"/>
    <w:rsid w:val="00C235AA"/>
    <w:rsid w:val="00C2394B"/>
    <w:rsid w:val="00C23A2B"/>
    <w:rsid w:val="00C23EA0"/>
    <w:rsid w:val="00C24B3F"/>
    <w:rsid w:val="00C24E45"/>
    <w:rsid w:val="00C250C8"/>
    <w:rsid w:val="00C25653"/>
    <w:rsid w:val="00C25655"/>
    <w:rsid w:val="00C26071"/>
    <w:rsid w:val="00C26F75"/>
    <w:rsid w:val="00C2741A"/>
    <w:rsid w:val="00C27609"/>
    <w:rsid w:val="00C30226"/>
    <w:rsid w:val="00C30447"/>
    <w:rsid w:val="00C306CB"/>
    <w:rsid w:val="00C306FA"/>
    <w:rsid w:val="00C30C65"/>
    <w:rsid w:val="00C31747"/>
    <w:rsid w:val="00C31FB4"/>
    <w:rsid w:val="00C31FD3"/>
    <w:rsid w:val="00C320D9"/>
    <w:rsid w:val="00C327D9"/>
    <w:rsid w:val="00C333EA"/>
    <w:rsid w:val="00C33567"/>
    <w:rsid w:val="00C336AB"/>
    <w:rsid w:val="00C34B0E"/>
    <w:rsid w:val="00C3522E"/>
    <w:rsid w:val="00C35E2C"/>
    <w:rsid w:val="00C35FEA"/>
    <w:rsid w:val="00C362B5"/>
    <w:rsid w:val="00C36792"/>
    <w:rsid w:val="00C375F9"/>
    <w:rsid w:val="00C40791"/>
    <w:rsid w:val="00C40BE2"/>
    <w:rsid w:val="00C40CBC"/>
    <w:rsid w:val="00C40E41"/>
    <w:rsid w:val="00C41C62"/>
    <w:rsid w:val="00C41C88"/>
    <w:rsid w:val="00C4236E"/>
    <w:rsid w:val="00C42B28"/>
    <w:rsid w:val="00C42C03"/>
    <w:rsid w:val="00C4313C"/>
    <w:rsid w:val="00C43A3A"/>
    <w:rsid w:val="00C44BA6"/>
    <w:rsid w:val="00C45005"/>
    <w:rsid w:val="00C4522F"/>
    <w:rsid w:val="00C45447"/>
    <w:rsid w:val="00C45BA0"/>
    <w:rsid w:val="00C45D83"/>
    <w:rsid w:val="00C45EF2"/>
    <w:rsid w:val="00C4620F"/>
    <w:rsid w:val="00C46DB2"/>
    <w:rsid w:val="00C473DF"/>
    <w:rsid w:val="00C47724"/>
    <w:rsid w:val="00C478DF"/>
    <w:rsid w:val="00C47A0C"/>
    <w:rsid w:val="00C47CC6"/>
    <w:rsid w:val="00C47CEE"/>
    <w:rsid w:val="00C47D50"/>
    <w:rsid w:val="00C5032F"/>
    <w:rsid w:val="00C505F4"/>
    <w:rsid w:val="00C509C9"/>
    <w:rsid w:val="00C511D9"/>
    <w:rsid w:val="00C5235C"/>
    <w:rsid w:val="00C52A6E"/>
    <w:rsid w:val="00C52D5E"/>
    <w:rsid w:val="00C52EB6"/>
    <w:rsid w:val="00C5340C"/>
    <w:rsid w:val="00C5356E"/>
    <w:rsid w:val="00C53702"/>
    <w:rsid w:val="00C5370E"/>
    <w:rsid w:val="00C53F05"/>
    <w:rsid w:val="00C53F67"/>
    <w:rsid w:val="00C54278"/>
    <w:rsid w:val="00C54AF9"/>
    <w:rsid w:val="00C54D91"/>
    <w:rsid w:val="00C55400"/>
    <w:rsid w:val="00C55C8C"/>
    <w:rsid w:val="00C563C2"/>
    <w:rsid w:val="00C56490"/>
    <w:rsid w:val="00C564E4"/>
    <w:rsid w:val="00C566E7"/>
    <w:rsid w:val="00C56749"/>
    <w:rsid w:val="00C57E94"/>
    <w:rsid w:val="00C60C13"/>
    <w:rsid w:val="00C60CFA"/>
    <w:rsid w:val="00C6113D"/>
    <w:rsid w:val="00C61B6A"/>
    <w:rsid w:val="00C61C4E"/>
    <w:rsid w:val="00C62131"/>
    <w:rsid w:val="00C628DF"/>
    <w:rsid w:val="00C62928"/>
    <w:rsid w:val="00C62E6F"/>
    <w:rsid w:val="00C63477"/>
    <w:rsid w:val="00C6350E"/>
    <w:rsid w:val="00C63769"/>
    <w:rsid w:val="00C6393B"/>
    <w:rsid w:val="00C63B08"/>
    <w:rsid w:val="00C63E2D"/>
    <w:rsid w:val="00C65137"/>
    <w:rsid w:val="00C651A8"/>
    <w:rsid w:val="00C6535D"/>
    <w:rsid w:val="00C6561A"/>
    <w:rsid w:val="00C657EB"/>
    <w:rsid w:val="00C658B6"/>
    <w:rsid w:val="00C65D83"/>
    <w:rsid w:val="00C6604E"/>
    <w:rsid w:val="00C6661E"/>
    <w:rsid w:val="00C66A69"/>
    <w:rsid w:val="00C708C7"/>
    <w:rsid w:val="00C71306"/>
    <w:rsid w:val="00C71C46"/>
    <w:rsid w:val="00C7296F"/>
    <w:rsid w:val="00C7332B"/>
    <w:rsid w:val="00C73590"/>
    <w:rsid w:val="00C73B1C"/>
    <w:rsid w:val="00C74136"/>
    <w:rsid w:val="00C74163"/>
    <w:rsid w:val="00C746DE"/>
    <w:rsid w:val="00C74985"/>
    <w:rsid w:val="00C75224"/>
    <w:rsid w:val="00C75381"/>
    <w:rsid w:val="00C75393"/>
    <w:rsid w:val="00C75788"/>
    <w:rsid w:val="00C7593B"/>
    <w:rsid w:val="00C75969"/>
    <w:rsid w:val="00C75CA3"/>
    <w:rsid w:val="00C76437"/>
    <w:rsid w:val="00C76CE8"/>
    <w:rsid w:val="00C7708D"/>
    <w:rsid w:val="00C771E5"/>
    <w:rsid w:val="00C772B2"/>
    <w:rsid w:val="00C77B3D"/>
    <w:rsid w:val="00C77E41"/>
    <w:rsid w:val="00C77EA7"/>
    <w:rsid w:val="00C77EEA"/>
    <w:rsid w:val="00C80BDD"/>
    <w:rsid w:val="00C8190C"/>
    <w:rsid w:val="00C81917"/>
    <w:rsid w:val="00C822DC"/>
    <w:rsid w:val="00C8254F"/>
    <w:rsid w:val="00C82A5F"/>
    <w:rsid w:val="00C82B23"/>
    <w:rsid w:val="00C82C48"/>
    <w:rsid w:val="00C82DC1"/>
    <w:rsid w:val="00C82F7B"/>
    <w:rsid w:val="00C83A51"/>
    <w:rsid w:val="00C83DFD"/>
    <w:rsid w:val="00C847B5"/>
    <w:rsid w:val="00C847CE"/>
    <w:rsid w:val="00C84A55"/>
    <w:rsid w:val="00C84AE9"/>
    <w:rsid w:val="00C85129"/>
    <w:rsid w:val="00C86466"/>
    <w:rsid w:val="00C871EF"/>
    <w:rsid w:val="00C87854"/>
    <w:rsid w:val="00C87A2B"/>
    <w:rsid w:val="00C87D2F"/>
    <w:rsid w:val="00C90B2D"/>
    <w:rsid w:val="00C91CBE"/>
    <w:rsid w:val="00C91E6C"/>
    <w:rsid w:val="00C91F7A"/>
    <w:rsid w:val="00C91FC6"/>
    <w:rsid w:val="00C92736"/>
    <w:rsid w:val="00C92BE0"/>
    <w:rsid w:val="00C92E9E"/>
    <w:rsid w:val="00C931C1"/>
    <w:rsid w:val="00C9387D"/>
    <w:rsid w:val="00C93B51"/>
    <w:rsid w:val="00C93E33"/>
    <w:rsid w:val="00C94AC1"/>
    <w:rsid w:val="00C95541"/>
    <w:rsid w:val="00C95A40"/>
    <w:rsid w:val="00C95A76"/>
    <w:rsid w:val="00C95F8B"/>
    <w:rsid w:val="00C9650B"/>
    <w:rsid w:val="00C9695D"/>
    <w:rsid w:val="00C97C47"/>
    <w:rsid w:val="00C97CCD"/>
    <w:rsid w:val="00CA0613"/>
    <w:rsid w:val="00CA0797"/>
    <w:rsid w:val="00CA0DF5"/>
    <w:rsid w:val="00CA15DE"/>
    <w:rsid w:val="00CA2FFA"/>
    <w:rsid w:val="00CA3246"/>
    <w:rsid w:val="00CA3F90"/>
    <w:rsid w:val="00CA402B"/>
    <w:rsid w:val="00CA425C"/>
    <w:rsid w:val="00CA42BC"/>
    <w:rsid w:val="00CA47FC"/>
    <w:rsid w:val="00CA4CB3"/>
    <w:rsid w:val="00CA5886"/>
    <w:rsid w:val="00CA6970"/>
    <w:rsid w:val="00CA69E0"/>
    <w:rsid w:val="00CA6B07"/>
    <w:rsid w:val="00CA75B2"/>
    <w:rsid w:val="00CA790E"/>
    <w:rsid w:val="00CA7A3C"/>
    <w:rsid w:val="00CA7CE6"/>
    <w:rsid w:val="00CB182C"/>
    <w:rsid w:val="00CB1C75"/>
    <w:rsid w:val="00CB1D44"/>
    <w:rsid w:val="00CB1D83"/>
    <w:rsid w:val="00CB2930"/>
    <w:rsid w:val="00CB2A0E"/>
    <w:rsid w:val="00CB2D1D"/>
    <w:rsid w:val="00CB3260"/>
    <w:rsid w:val="00CB3BED"/>
    <w:rsid w:val="00CB3C6A"/>
    <w:rsid w:val="00CB3D1A"/>
    <w:rsid w:val="00CB47BB"/>
    <w:rsid w:val="00CB485D"/>
    <w:rsid w:val="00CB498B"/>
    <w:rsid w:val="00CB4AC0"/>
    <w:rsid w:val="00CB58A1"/>
    <w:rsid w:val="00CB595B"/>
    <w:rsid w:val="00CB5AD7"/>
    <w:rsid w:val="00CB5AE2"/>
    <w:rsid w:val="00CB5C0E"/>
    <w:rsid w:val="00CB5DAF"/>
    <w:rsid w:val="00CB6471"/>
    <w:rsid w:val="00CB64C2"/>
    <w:rsid w:val="00CB6AB0"/>
    <w:rsid w:val="00CB6C6B"/>
    <w:rsid w:val="00CB6CD3"/>
    <w:rsid w:val="00CB70E9"/>
    <w:rsid w:val="00CB752E"/>
    <w:rsid w:val="00CC0BA4"/>
    <w:rsid w:val="00CC140C"/>
    <w:rsid w:val="00CC1434"/>
    <w:rsid w:val="00CC1C85"/>
    <w:rsid w:val="00CC1EBF"/>
    <w:rsid w:val="00CC265B"/>
    <w:rsid w:val="00CC2C44"/>
    <w:rsid w:val="00CC2F10"/>
    <w:rsid w:val="00CC384E"/>
    <w:rsid w:val="00CC3CAD"/>
    <w:rsid w:val="00CC3F3C"/>
    <w:rsid w:val="00CC4108"/>
    <w:rsid w:val="00CC458B"/>
    <w:rsid w:val="00CC45FD"/>
    <w:rsid w:val="00CC4714"/>
    <w:rsid w:val="00CC47EE"/>
    <w:rsid w:val="00CC4D61"/>
    <w:rsid w:val="00CC5913"/>
    <w:rsid w:val="00CC5F84"/>
    <w:rsid w:val="00CC6093"/>
    <w:rsid w:val="00CC633B"/>
    <w:rsid w:val="00CC73F0"/>
    <w:rsid w:val="00CC7463"/>
    <w:rsid w:val="00CC7A5F"/>
    <w:rsid w:val="00CC7CBC"/>
    <w:rsid w:val="00CD0DDD"/>
    <w:rsid w:val="00CD0E42"/>
    <w:rsid w:val="00CD0FE2"/>
    <w:rsid w:val="00CD10F2"/>
    <w:rsid w:val="00CD1121"/>
    <w:rsid w:val="00CD1394"/>
    <w:rsid w:val="00CD1438"/>
    <w:rsid w:val="00CD165A"/>
    <w:rsid w:val="00CD1951"/>
    <w:rsid w:val="00CD19D8"/>
    <w:rsid w:val="00CD28B9"/>
    <w:rsid w:val="00CD2BED"/>
    <w:rsid w:val="00CD2FA6"/>
    <w:rsid w:val="00CD36DC"/>
    <w:rsid w:val="00CD39BC"/>
    <w:rsid w:val="00CD484E"/>
    <w:rsid w:val="00CD49CE"/>
    <w:rsid w:val="00CD594B"/>
    <w:rsid w:val="00CD5E2B"/>
    <w:rsid w:val="00CD6AF1"/>
    <w:rsid w:val="00CD6F1C"/>
    <w:rsid w:val="00CD70C2"/>
    <w:rsid w:val="00CD7379"/>
    <w:rsid w:val="00CD77FD"/>
    <w:rsid w:val="00CD7D20"/>
    <w:rsid w:val="00CE0CEC"/>
    <w:rsid w:val="00CE0D2E"/>
    <w:rsid w:val="00CE18A2"/>
    <w:rsid w:val="00CE2769"/>
    <w:rsid w:val="00CE360C"/>
    <w:rsid w:val="00CE3B8E"/>
    <w:rsid w:val="00CE45A1"/>
    <w:rsid w:val="00CE4B28"/>
    <w:rsid w:val="00CE605F"/>
    <w:rsid w:val="00CE65FD"/>
    <w:rsid w:val="00CE6A35"/>
    <w:rsid w:val="00CE6DF2"/>
    <w:rsid w:val="00CE6F8D"/>
    <w:rsid w:val="00CE7293"/>
    <w:rsid w:val="00CE749D"/>
    <w:rsid w:val="00CE7507"/>
    <w:rsid w:val="00CE7A5E"/>
    <w:rsid w:val="00CE7E45"/>
    <w:rsid w:val="00CE7F90"/>
    <w:rsid w:val="00CE7FAE"/>
    <w:rsid w:val="00CF0280"/>
    <w:rsid w:val="00CF02A5"/>
    <w:rsid w:val="00CF0B23"/>
    <w:rsid w:val="00CF0BF8"/>
    <w:rsid w:val="00CF0DA9"/>
    <w:rsid w:val="00CF0EF4"/>
    <w:rsid w:val="00CF0FC8"/>
    <w:rsid w:val="00CF132E"/>
    <w:rsid w:val="00CF1362"/>
    <w:rsid w:val="00CF13C4"/>
    <w:rsid w:val="00CF144B"/>
    <w:rsid w:val="00CF1E3E"/>
    <w:rsid w:val="00CF25FB"/>
    <w:rsid w:val="00CF2AF9"/>
    <w:rsid w:val="00CF2BF4"/>
    <w:rsid w:val="00CF2F0E"/>
    <w:rsid w:val="00CF2F8E"/>
    <w:rsid w:val="00CF38EF"/>
    <w:rsid w:val="00CF3A5D"/>
    <w:rsid w:val="00CF3A67"/>
    <w:rsid w:val="00CF3A7E"/>
    <w:rsid w:val="00CF401C"/>
    <w:rsid w:val="00CF4258"/>
    <w:rsid w:val="00CF4409"/>
    <w:rsid w:val="00CF4970"/>
    <w:rsid w:val="00CF4C59"/>
    <w:rsid w:val="00CF4E5A"/>
    <w:rsid w:val="00CF5127"/>
    <w:rsid w:val="00CF5356"/>
    <w:rsid w:val="00CF53D8"/>
    <w:rsid w:val="00CF62C8"/>
    <w:rsid w:val="00CF6FF8"/>
    <w:rsid w:val="00CF7103"/>
    <w:rsid w:val="00CF7124"/>
    <w:rsid w:val="00CF72A3"/>
    <w:rsid w:val="00CF7C00"/>
    <w:rsid w:val="00CF7DB6"/>
    <w:rsid w:val="00CF7F44"/>
    <w:rsid w:val="00D00020"/>
    <w:rsid w:val="00D0036B"/>
    <w:rsid w:val="00D01E95"/>
    <w:rsid w:val="00D028FB"/>
    <w:rsid w:val="00D02E98"/>
    <w:rsid w:val="00D03CED"/>
    <w:rsid w:val="00D04F0F"/>
    <w:rsid w:val="00D05349"/>
    <w:rsid w:val="00D05511"/>
    <w:rsid w:val="00D05951"/>
    <w:rsid w:val="00D05AD6"/>
    <w:rsid w:val="00D065C6"/>
    <w:rsid w:val="00D06977"/>
    <w:rsid w:val="00D06B36"/>
    <w:rsid w:val="00D07C40"/>
    <w:rsid w:val="00D1026A"/>
    <w:rsid w:val="00D10276"/>
    <w:rsid w:val="00D11138"/>
    <w:rsid w:val="00D11545"/>
    <w:rsid w:val="00D115F2"/>
    <w:rsid w:val="00D11BC5"/>
    <w:rsid w:val="00D121B9"/>
    <w:rsid w:val="00D1229D"/>
    <w:rsid w:val="00D125ED"/>
    <w:rsid w:val="00D1321D"/>
    <w:rsid w:val="00D13C44"/>
    <w:rsid w:val="00D13E35"/>
    <w:rsid w:val="00D142AA"/>
    <w:rsid w:val="00D15480"/>
    <w:rsid w:val="00D158E7"/>
    <w:rsid w:val="00D15D02"/>
    <w:rsid w:val="00D15F65"/>
    <w:rsid w:val="00D16252"/>
    <w:rsid w:val="00D16545"/>
    <w:rsid w:val="00D16F3E"/>
    <w:rsid w:val="00D17408"/>
    <w:rsid w:val="00D17531"/>
    <w:rsid w:val="00D17580"/>
    <w:rsid w:val="00D1786B"/>
    <w:rsid w:val="00D204FA"/>
    <w:rsid w:val="00D20CC9"/>
    <w:rsid w:val="00D20D45"/>
    <w:rsid w:val="00D215A2"/>
    <w:rsid w:val="00D22FEF"/>
    <w:rsid w:val="00D23051"/>
    <w:rsid w:val="00D2328C"/>
    <w:rsid w:val="00D23E77"/>
    <w:rsid w:val="00D242BD"/>
    <w:rsid w:val="00D2442A"/>
    <w:rsid w:val="00D244CF"/>
    <w:rsid w:val="00D246CB"/>
    <w:rsid w:val="00D24A90"/>
    <w:rsid w:val="00D24E90"/>
    <w:rsid w:val="00D24F21"/>
    <w:rsid w:val="00D24F26"/>
    <w:rsid w:val="00D2505A"/>
    <w:rsid w:val="00D25B1F"/>
    <w:rsid w:val="00D25BD2"/>
    <w:rsid w:val="00D26032"/>
    <w:rsid w:val="00D26A7D"/>
    <w:rsid w:val="00D26AB5"/>
    <w:rsid w:val="00D26B35"/>
    <w:rsid w:val="00D272A7"/>
    <w:rsid w:val="00D3018C"/>
    <w:rsid w:val="00D301BD"/>
    <w:rsid w:val="00D30370"/>
    <w:rsid w:val="00D30644"/>
    <w:rsid w:val="00D309D9"/>
    <w:rsid w:val="00D30F32"/>
    <w:rsid w:val="00D310F2"/>
    <w:rsid w:val="00D31C9F"/>
    <w:rsid w:val="00D31D24"/>
    <w:rsid w:val="00D327C6"/>
    <w:rsid w:val="00D32BF0"/>
    <w:rsid w:val="00D32DB0"/>
    <w:rsid w:val="00D3376E"/>
    <w:rsid w:val="00D33AC7"/>
    <w:rsid w:val="00D3440B"/>
    <w:rsid w:val="00D35006"/>
    <w:rsid w:val="00D35348"/>
    <w:rsid w:val="00D354DC"/>
    <w:rsid w:val="00D35A3A"/>
    <w:rsid w:val="00D3681E"/>
    <w:rsid w:val="00D36A17"/>
    <w:rsid w:val="00D378A4"/>
    <w:rsid w:val="00D415AA"/>
    <w:rsid w:val="00D41A8A"/>
    <w:rsid w:val="00D425E0"/>
    <w:rsid w:val="00D4316D"/>
    <w:rsid w:val="00D432BF"/>
    <w:rsid w:val="00D43930"/>
    <w:rsid w:val="00D439C6"/>
    <w:rsid w:val="00D43E01"/>
    <w:rsid w:val="00D43E07"/>
    <w:rsid w:val="00D44851"/>
    <w:rsid w:val="00D448E4"/>
    <w:rsid w:val="00D449B0"/>
    <w:rsid w:val="00D44C7E"/>
    <w:rsid w:val="00D450DB"/>
    <w:rsid w:val="00D452A2"/>
    <w:rsid w:val="00D4560B"/>
    <w:rsid w:val="00D46461"/>
    <w:rsid w:val="00D46B8F"/>
    <w:rsid w:val="00D47107"/>
    <w:rsid w:val="00D47E8C"/>
    <w:rsid w:val="00D5004F"/>
    <w:rsid w:val="00D51032"/>
    <w:rsid w:val="00D516D5"/>
    <w:rsid w:val="00D51E66"/>
    <w:rsid w:val="00D51FE2"/>
    <w:rsid w:val="00D5202B"/>
    <w:rsid w:val="00D5282F"/>
    <w:rsid w:val="00D53B53"/>
    <w:rsid w:val="00D54374"/>
    <w:rsid w:val="00D544B7"/>
    <w:rsid w:val="00D54F75"/>
    <w:rsid w:val="00D553E9"/>
    <w:rsid w:val="00D55FA5"/>
    <w:rsid w:val="00D56333"/>
    <w:rsid w:val="00D56C2F"/>
    <w:rsid w:val="00D571E5"/>
    <w:rsid w:val="00D574A5"/>
    <w:rsid w:val="00D60474"/>
    <w:rsid w:val="00D608C2"/>
    <w:rsid w:val="00D60963"/>
    <w:rsid w:val="00D60E84"/>
    <w:rsid w:val="00D6120B"/>
    <w:rsid w:val="00D614FD"/>
    <w:rsid w:val="00D6161E"/>
    <w:rsid w:val="00D61F84"/>
    <w:rsid w:val="00D61FA4"/>
    <w:rsid w:val="00D62340"/>
    <w:rsid w:val="00D6237E"/>
    <w:rsid w:val="00D62758"/>
    <w:rsid w:val="00D627B5"/>
    <w:rsid w:val="00D63022"/>
    <w:rsid w:val="00D6313D"/>
    <w:rsid w:val="00D640E1"/>
    <w:rsid w:val="00D64BAF"/>
    <w:rsid w:val="00D65B94"/>
    <w:rsid w:val="00D65BA0"/>
    <w:rsid w:val="00D66437"/>
    <w:rsid w:val="00D70324"/>
    <w:rsid w:val="00D70691"/>
    <w:rsid w:val="00D70E3D"/>
    <w:rsid w:val="00D710AC"/>
    <w:rsid w:val="00D71263"/>
    <w:rsid w:val="00D7185A"/>
    <w:rsid w:val="00D71DA8"/>
    <w:rsid w:val="00D72243"/>
    <w:rsid w:val="00D72531"/>
    <w:rsid w:val="00D7293A"/>
    <w:rsid w:val="00D73EBD"/>
    <w:rsid w:val="00D74DC2"/>
    <w:rsid w:val="00D75BF4"/>
    <w:rsid w:val="00D7617A"/>
    <w:rsid w:val="00D76ABE"/>
    <w:rsid w:val="00D76C42"/>
    <w:rsid w:val="00D76F88"/>
    <w:rsid w:val="00D776CB"/>
    <w:rsid w:val="00D801A6"/>
    <w:rsid w:val="00D80326"/>
    <w:rsid w:val="00D803CE"/>
    <w:rsid w:val="00D815A2"/>
    <w:rsid w:val="00D818A2"/>
    <w:rsid w:val="00D8196B"/>
    <w:rsid w:val="00D842D4"/>
    <w:rsid w:val="00D84E2D"/>
    <w:rsid w:val="00D851C1"/>
    <w:rsid w:val="00D8638E"/>
    <w:rsid w:val="00D86570"/>
    <w:rsid w:val="00D868FA"/>
    <w:rsid w:val="00D86FFD"/>
    <w:rsid w:val="00D87FA5"/>
    <w:rsid w:val="00D9038A"/>
    <w:rsid w:val="00D9055B"/>
    <w:rsid w:val="00D90700"/>
    <w:rsid w:val="00D90C8E"/>
    <w:rsid w:val="00D91213"/>
    <w:rsid w:val="00D9195D"/>
    <w:rsid w:val="00D9196E"/>
    <w:rsid w:val="00D91A91"/>
    <w:rsid w:val="00D91C23"/>
    <w:rsid w:val="00D924F7"/>
    <w:rsid w:val="00D926C6"/>
    <w:rsid w:val="00D9384D"/>
    <w:rsid w:val="00D939C0"/>
    <w:rsid w:val="00D949CE"/>
    <w:rsid w:val="00D94FF7"/>
    <w:rsid w:val="00D95213"/>
    <w:rsid w:val="00D95882"/>
    <w:rsid w:val="00D966D5"/>
    <w:rsid w:val="00D96CDC"/>
    <w:rsid w:val="00D97344"/>
    <w:rsid w:val="00D975B2"/>
    <w:rsid w:val="00D97737"/>
    <w:rsid w:val="00D97BFA"/>
    <w:rsid w:val="00DA06DB"/>
    <w:rsid w:val="00DA0CB8"/>
    <w:rsid w:val="00DA0EF1"/>
    <w:rsid w:val="00DA1127"/>
    <w:rsid w:val="00DA132A"/>
    <w:rsid w:val="00DA13BC"/>
    <w:rsid w:val="00DA1F91"/>
    <w:rsid w:val="00DA20A8"/>
    <w:rsid w:val="00DA2486"/>
    <w:rsid w:val="00DA2532"/>
    <w:rsid w:val="00DA2F53"/>
    <w:rsid w:val="00DA35B2"/>
    <w:rsid w:val="00DA4BD7"/>
    <w:rsid w:val="00DA4FBD"/>
    <w:rsid w:val="00DA6568"/>
    <w:rsid w:val="00DB0EE5"/>
    <w:rsid w:val="00DB149E"/>
    <w:rsid w:val="00DB1662"/>
    <w:rsid w:val="00DB1D5E"/>
    <w:rsid w:val="00DB1EE0"/>
    <w:rsid w:val="00DB2EED"/>
    <w:rsid w:val="00DB34DC"/>
    <w:rsid w:val="00DB36D4"/>
    <w:rsid w:val="00DB3A11"/>
    <w:rsid w:val="00DB3AA7"/>
    <w:rsid w:val="00DB43FD"/>
    <w:rsid w:val="00DB4968"/>
    <w:rsid w:val="00DB502C"/>
    <w:rsid w:val="00DB63E3"/>
    <w:rsid w:val="00DC01DD"/>
    <w:rsid w:val="00DC1963"/>
    <w:rsid w:val="00DC1A6A"/>
    <w:rsid w:val="00DC1B45"/>
    <w:rsid w:val="00DC1EF1"/>
    <w:rsid w:val="00DC2801"/>
    <w:rsid w:val="00DC2C12"/>
    <w:rsid w:val="00DC394D"/>
    <w:rsid w:val="00DC3B0C"/>
    <w:rsid w:val="00DC3B7E"/>
    <w:rsid w:val="00DC3BF9"/>
    <w:rsid w:val="00DC4DB7"/>
    <w:rsid w:val="00DC5056"/>
    <w:rsid w:val="00DC59EC"/>
    <w:rsid w:val="00DC5F25"/>
    <w:rsid w:val="00DC66EF"/>
    <w:rsid w:val="00DC70E7"/>
    <w:rsid w:val="00DD0EEF"/>
    <w:rsid w:val="00DD1537"/>
    <w:rsid w:val="00DD1857"/>
    <w:rsid w:val="00DD1961"/>
    <w:rsid w:val="00DD19BF"/>
    <w:rsid w:val="00DD1ACB"/>
    <w:rsid w:val="00DD223F"/>
    <w:rsid w:val="00DD2537"/>
    <w:rsid w:val="00DD410E"/>
    <w:rsid w:val="00DD412A"/>
    <w:rsid w:val="00DD5F85"/>
    <w:rsid w:val="00DD65A1"/>
    <w:rsid w:val="00DD6EF5"/>
    <w:rsid w:val="00DD7430"/>
    <w:rsid w:val="00DD774F"/>
    <w:rsid w:val="00DD7AB5"/>
    <w:rsid w:val="00DE0730"/>
    <w:rsid w:val="00DE1046"/>
    <w:rsid w:val="00DE132F"/>
    <w:rsid w:val="00DE1410"/>
    <w:rsid w:val="00DE15B5"/>
    <w:rsid w:val="00DE1F10"/>
    <w:rsid w:val="00DE2C79"/>
    <w:rsid w:val="00DE3B2F"/>
    <w:rsid w:val="00DE414C"/>
    <w:rsid w:val="00DE4870"/>
    <w:rsid w:val="00DE4A85"/>
    <w:rsid w:val="00DE5228"/>
    <w:rsid w:val="00DE61F7"/>
    <w:rsid w:val="00DE630C"/>
    <w:rsid w:val="00DE639B"/>
    <w:rsid w:val="00DE67D8"/>
    <w:rsid w:val="00DE7786"/>
    <w:rsid w:val="00DE7E7C"/>
    <w:rsid w:val="00DF010A"/>
    <w:rsid w:val="00DF01CE"/>
    <w:rsid w:val="00DF0746"/>
    <w:rsid w:val="00DF0A77"/>
    <w:rsid w:val="00DF0D65"/>
    <w:rsid w:val="00DF0FA5"/>
    <w:rsid w:val="00DF21A5"/>
    <w:rsid w:val="00DF2F7F"/>
    <w:rsid w:val="00DF35DF"/>
    <w:rsid w:val="00DF369B"/>
    <w:rsid w:val="00DF3B05"/>
    <w:rsid w:val="00DF4AF3"/>
    <w:rsid w:val="00DF4FD8"/>
    <w:rsid w:val="00DF5052"/>
    <w:rsid w:val="00DF583A"/>
    <w:rsid w:val="00DF58ED"/>
    <w:rsid w:val="00DF5C79"/>
    <w:rsid w:val="00DF618C"/>
    <w:rsid w:val="00DF6459"/>
    <w:rsid w:val="00DF6484"/>
    <w:rsid w:val="00DF69B0"/>
    <w:rsid w:val="00DF6D16"/>
    <w:rsid w:val="00DF6FE3"/>
    <w:rsid w:val="00DF7DBB"/>
    <w:rsid w:val="00E00264"/>
    <w:rsid w:val="00E00570"/>
    <w:rsid w:val="00E009E7"/>
    <w:rsid w:val="00E016DE"/>
    <w:rsid w:val="00E0221D"/>
    <w:rsid w:val="00E024B5"/>
    <w:rsid w:val="00E02BAB"/>
    <w:rsid w:val="00E02D28"/>
    <w:rsid w:val="00E030E2"/>
    <w:rsid w:val="00E0312D"/>
    <w:rsid w:val="00E03744"/>
    <w:rsid w:val="00E03883"/>
    <w:rsid w:val="00E045BC"/>
    <w:rsid w:val="00E0495E"/>
    <w:rsid w:val="00E04CCD"/>
    <w:rsid w:val="00E0548B"/>
    <w:rsid w:val="00E05A61"/>
    <w:rsid w:val="00E05BC9"/>
    <w:rsid w:val="00E05F8C"/>
    <w:rsid w:val="00E061B9"/>
    <w:rsid w:val="00E06394"/>
    <w:rsid w:val="00E070B5"/>
    <w:rsid w:val="00E07240"/>
    <w:rsid w:val="00E105AD"/>
    <w:rsid w:val="00E10B04"/>
    <w:rsid w:val="00E10BB1"/>
    <w:rsid w:val="00E114FC"/>
    <w:rsid w:val="00E129EC"/>
    <w:rsid w:val="00E13269"/>
    <w:rsid w:val="00E13440"/>
    <w:rsid w:val="00E13D53"/>
    <w:rsid w:val="00E14110"/>
    <w:rsid w:val="00E14449"/>
    <w:rsid w:val="00E144E2"/>
    <w:rsid w:val="00E145A0"/>
    <w:rsid w:val="00E14C94"/>
    <w:rsid w:val="00E1516E"/>
    <w:rsid w:val="00E15427"/>
    <w:rsid w:val="00E15E3E"/>
    <w:rsid w:val="00E15EA3"/>
    <w:rsid w:val="00E16872"/>
    <w:rsid w:val="00E176CD"/>
    <w:rsid w:val="00E178A1"/>
    <w:rsid w:val="00E17D3E"/>
    <w:rsid w:val="00E17F02"/>
    <w:rsid w:val="00E20499"/>
    <w:rsid w:val="00E21DEF"/>
    <w:rsid w:val="00E22254"/>
    <w:rsid w:val="00E22378"/>
    <w:rsid w:val="00E22C57"/>
    <w:rsid w:val="00E22F0C"/>
    <w:rsid w:val="00E2312D"/>
    <w:rsid w:val="00E23439"/>
    <w:rsid w:val="00E236D3"/>
    <w:rsid w:val="00E23AE6"/>
    <w:rsid w:val="00E23BE8"/>
    <w:rsid w:val="00E23D90"/>
    <w:rsid w:val="00E2412A"/>
    <w:rsid w:val="00E2430C"/>
    <w:rsid w:val="00E24546"/>
    <w:rsid w:val="00E258C2"/>
    <w:rsid w:val="00E25913"/>
    <w:rsid w:val="00E25EDC"/>
    <w:rsid w:val="00E25FCC"/>
    <w:rsid w:val="00E26549"/>
    <w:rsid w:val="00E26A8D"/>
    <w:rsid w:val="00E26B60"/>
    <w:rsid w:val="00E27703"/>
    <w:rsid w:val="00E27C8D"/>
    <w:rsid w:val="00E27E6B"/>
    <w:rsid w:val="00E300A3"/>
    <w:rsid w:val="00E300C6"/>
    <w:rsid w:val="00E300D2"/>
    <w:rsid w:val="00E300DD"/>
    <w:rsid w:val="00E30932"/>
    <w:rsid w:val="00E30982"/>
    <w:rsid w:val="00E3117C"/>
    <w:rsid w:val="00E313ED"/>
    <w:rsid w:val="00E314E3"/>
    <w:rsid w:val="00E33511"/>
    <w:rsid w:val="00E33BD6"/>
    <w:rsid w:val="00E346DA"/>
    <w:rsid w:val="00E34A5B"/>
    <w:rsid w:val="00E34ED7"/>
    <w:rsid w:val="00E35062"/>
    <w:rsid w:val="00E352DF"/>
    <w:rsid w:val="00E35E8B"/>
    <w:rsid w:val="00E36125"/>
    <w:rsid w:val="00E3654F"/>
    <w:rsid w:val="00E3685A"/>
    <w:rsid w:val="00E371C8"/>
    <w:rsid w:val="00E3720A"/>
    <w:rsid w:val="00E37389"/>
    <w:rsid w:val="00E3782F"/>
    <w:rsid w:val="00E37886"/>
    <w:rsid w:val="00E37894"/>
    <w:rsid w:val="00E37B3A"/>
    <w:rsid w:val="00E37CF5"/>
    <w:rsid w:val="00E37D3B"/>
    <w:rsid w:val="00E37D6E"/>
    <w:rsid w:val="00E401EF"/>
    <w:rsid w:val="00E40F4B"/>
    <w:rsid w:val="00E40FA6"/>
    <w:rsid w:val="00E41012"/>
    <w:rsid w:val="00E4124A"/>
    <w:rsid w:val="00E41282"/>
    <w:rsid w:val="00E41B21"/>
    <w:rsid w:val="00E42147"/>
    <w:rsid w:val="00E42C57"/>
    <w:rsid w:val="00E42E9A"/>
    <w:rsid w:val="00E430C8"/>
    <w:rsid w:val="00E4464F"/>
    <w:rsid w:val="00E45D20"/>
    <w:rsid w:val="00E46164"/>
    <w:rsid w:val="00E46646"/>
    <w:rsid w:val="00E469AC"/>
    <w:rsid w:val="00E46C52"/>
    <w:rsid w:val="00E47762"/>
    <w:rsid w:val="00E47D89"/>
    <w:rsid w:val="00E50000"/>
    <w:rsid w:val="00E500D0"/>
    <w:rsid w:val="00E50640"/>
    <w:rsid w:val="00E5128F"/>
    <w:rsid w:val="00E52439"/>
    <w:rsid w:val="00E537E8"/>
    <w:rsid w:val="00E5386C"/>
    <w:rsid w:val="00E53899"/>
    <w:rsid w:val="00E53AEB"/>
    <w:rsid w:val="00E53AF2"/>
    <w:rsid w:val="00E53C5F"/>
    <w:rsid w:val="00E53D11"/>
    <w:rsid w:val="00E54674"/>
    <w:rsid w:val="00E54BB3"/>
    <w:rsid w:val="00E55011"/>
    <w:rsid w:val="00E5511C"/>
    <w:rsid w:val="00E557A4"/>
    <w:rsid w:val="00E558DB"/>
    <w:rsid w:val="00E55922"/>
    <w:rsid w:val="00E55B3D"/>
    <w:rsid w:val="00E55CAA"/>
    <w:rsid w:val="00E56C3F"/>
    <w:rsid w:val="00E56CA7"/>
    <w:rsid w:val="00E56CCF"/>
    <w:rsid w:val="00E57291"/>
    <w:rsid w:val="00E573C0"/>
    <w:rsid w:val="00E60A31"/>
    <w:rsid w:val="00E617E9"/>
    <w:rsid w:val="00E61AE9"/>
    <w:rsid w:val="00E61B72"/>
    <w:rsid w:val="00E62241"/>
    <w:rsid w:val="00E62283"/>
    <w:rsid w:val="00E630D5"/>
    <w:rsid w:val="00E63516"/>
    <w:rsid w:val="00E6380B"/>
    <w:rsid w:val="00E63943"/>
    <w:rsid w:val="00E63AD8"/>
    <w:rsid w:val="00E6482C"/>
    <w:rsid w:val="00E6585D"/>
    <w:rsid w:val="00E65B40"/>
    <w:rsid w:val="00E66038"/>
    <w:rsid w:val="00E6669C"/>
    <w:rsid w:val="00E66E67"/>
    <w:rsid w:val="00E66F61"/>
    <w:rsid w:val="00E675F2"/>
    <w:rsid w:val="00E676C8"/>
    <w:rsid w:val="00E70068"/>
    <w:rsid w:val="00E70662"/>
    <w:rsid w:val="00E70C8C"/>
    <w:rsid w:val="00E70DB3"/>
    <w:rsid w:val="00E7123C"/>
    <w:rsid w:val="00E712B6"/>
    <w:rsid w:val="00E72442"/>
    <w:rsid w:val="00E726B4"/>
    <w:rsid w:val="00E727C9"/>
    <w:rsid w:val="00E72A91"/>
    <w:rsid w:val="00E731B3"/>
    <w:rsid w:val="00E74248"/>
    <w:rsid w:val="00E74C94"/>
    <w:rsid w:val="00E754F1"/>
    <w:rsid w:val="00E758D3"/>
    <w:rsid w:val="00E759A4"/>
    <w:rsid w:val="00E75A16"/>
    <w:rsid w:val="00E75B5A"/>
    <w:rsid w:val="00E762AE"/>
    <w:rsid w:val="00E762FB"/>
    <w:rsid w:val="00E76EA7"/>
    <w:rsid w:val="00E77053"/>
    <w:rsid w:val="00E77087"/>
    <w:rsid w:val="00E77D33"/>
    <w:rsid w:val="00E77F00"/>
    <w:rsid w:val="00E802AD"/>
    <w:rsid w:val="00E80EB0"/>
    <w:rsid w:val="00E80F88"/>
    <w:rsid w:val="00E8138C"/>
    <w:rsid w:val="00E813B7"/>
    <w:rsid w:val="00E82282"/>
    <w:rsid w:val="00E82C70"/>
    <w:rsid w:val="00E82FD5"/>
    <w:rsid w:val="00E83AEA"/>
    <w:rsid w:val="00E83BDB"/>
    <w:rsid w:val="00E8413F"/>
    <w:rsid w:val="00E8435B"/>
    <w:rsid w:val="00E84856"/>
    <w:rsid w:val="00E8487B"/>
    <w:rsid w:val="00E84A08"/>
    <w:rsid w:val="00E85866"/>
    <w:rsid w:val="00E867E6"/>
    <w:rsid w:val="00E87171"/>
    <w:rsid w:val="00E87373"/>
    <w:rsid w:val="00E874D7"/>
    <w:rsid w:val="00E87BBA"/>
    <w:rsid w:val="00E900E4"/>
    <w:rsid w:val="00E90610"/>
    <w:rsid w:val="00E90EAE"/>
    <w:rsid w:val="00E9106C"/>
    <w:rsid w:val="00E91174"/>
    <w:rsid w:val="00E91B3D"/>
    <w:rsid w:val="00E91C38"/>
    <w:rsid w:val="00E922A6"/>
    <w:rsid w:val="00E92C0C"/>
    <w:rsid w:val="00E92D1A"/>
    <w:rsid w:val="00E93DA3"/>
    <w:rsid w:val="00E94A69"/>
    <w:rsid w:val="00E94B46"/>
    <w:rsid w:val="00E94BA1"/>
    <w:rsid w:val="00E94BBF"/>
    <w:rsid w:val="00E96133"/>
    <w:rsid w:val="00E961C5"/>
    <w:rsid w:val="00E96B84"/>
    <w:rsid w:val="00E96CD5"/>
    <w:rsid w:val="00E972E8"/>
    <w:rsid w:val="00E977C7"/>
    <w:rsid w:val="00E97C7E"/>
    <w:rsid w:val="00EA1476"/>
    <w:rsid w:val="00EA183E"/>
    <w:rsid w:val="00EA1B35"/>
    <w:rsid w:val="00EA1E00"/>
    <w:rsid w:val="00EA1E6C"/>
    <w:rsid w:val="00EA1FE2"/>
    <w:rsid w:val="00EA24D4"/>
    <w:rsid w:val="00EA259F"/>
    <w:rsid w:val="00EA28A0"/>
    <w:rsid w:val="00EA2916"/>
    <w:rsid w:val="00EA367E"/>
    <w:rsid w:val="00EA37EE"/>
    <w:rsid w:val="00EA4009"/>
    <w:rsid w:val="00EA4184"/>
    <w:rsid w:val="00EA434B"/>
    <w:rsid w:val="00EA474A"/>
    <w:rsid w:val="00EA4FEE"/>
    <w:rsid w:val="00EA5187"/>
    <w:rsid w:val="00EA63DD"/>
    <w:rsid w:val="00EA6605"/>
    <w:rsid w:val="00EA6A10"/>
    <w:rsid w:val="00EA750E"/>
    <w:rsid w:val="00EB027F"/>
    <w:rsid w:val="00EB05C4"/>
    <w:rsid w:val="00EB0A83"/>
    <w:rsid w:val="00EB0D9C"/>
    <w:rsid w:val="00EB0E92"/>
    <w:rsid w:val="00EB0EF9"/>
    <w:rsid w:val="00EB1A5E"/>
    <w:rsid w:val="00EB1C19"/>
    <w:rsid w:val="00EB1FB9"/>
    <w:rsid w:val="00EB23D8"/>
    <w:rsid w:val="00EB2712"/>
    <w:rsid w:val="00EB2C10"/>
    <w:rsid w:val="00EB2C7E"/>
    <w:rsid w:val="00EB2D59"/>
    <w:rsid w:val="00EB2DFE"/>
    <w:rsid w:val="00EB30E9"/>
    <w:rsid w:val="00EB31DB"/>
    <w:rsid w:val="00EB3712"/>
    <w:rsid w:val="00EB3EC2"/>
    <w:rsid w:val="00EB4349"/>
    <w:rsid w:val="00EB43EB"/>
    <w:rsid w:val="00EB4C34"/>
    <w:rsid w:val="00EB517B"/>
    <w:rsid w:val="00EB5620"/>
    <w:rsid w:val="00EB647B"/>
    <w:rsid w:val="00EB656C"/>
    <w:rsid w:val="00EB75C8"/>
    <w:rsid w:val="00EB7A9F"/>
    <w:rsid w:val="00EB7CD2"/>
    <w:rsid w:val="00EB7F3C"/>
    <w:rsid w:val="00EB7F6E"/>
    <w:rsid w:val="00EC1191"/>
    <w:rsid w:val="00EC1829"/>
    <w:rsid w:val="00EC1A0F"/>
    <w:rsid w:val="00EC1F56"/>
    <w:rsid w:val="00EC2310"/>
    <w:rsid w:val="00EC286C"/>
    <w:rsid w:val="00EC2D7A"/>
    <w:rsid w:val="00EC3BFB"/>
    <w:rsid w:val="00EC5966"/>
    <w:rsid w:val="00EC5A0D"/>
    <w:rsid w:val="00EC6803"/>
    <w:rsid w:val="00EC6A27"/>
    <w:rsid w:val="00EC71DF"/>
    <w:rsid w:val="00EC73CB"/>
    <w:rsid w:val="00ED0638"/>
    <w:rsid w:val="00ED0C61"/>
    <w:rsid w:val="00ED103B"/>
    <w:rsid w:val="00ED220E"/>
    <w:rsid w:val="00ED24BA"/>
    <w:rsid w:val="00ED24C2"/>
    <w:rsid w:val="00ED2CB1"/>
    <w:rsid w:val="00ED3184"/>
    <w:rsid w:val="00ED328C"/>
    <w:rsid w:val="00ED4DDB"/>
    <w:rsid w:val="00ED564E"/>
    <w:rsid w:val="00ED60FE"/>
    <w:rsid w:val="00ED64CB"/>
    <w:rsid w:val="00ED6596"/>
    <w:rsid w:val="00ED730C"/>
    <w:rsid w:val="00ED775E"/>
    <w:rsid w:val="00ED7C6C"/>
    <w:rsid w:val="00EE001C"/>
    <w:rsid w:val="00EE05A1"/>
    <w:rsid w:val="00EE0EF8"/>
    <w:rsid w:val="00EE1276"/>
    <w:rsid w:val="00EE1498"/>
    <w:rsid w:val="00EE170C"/>
    <w:rsid w:val="00EE17E7"/>
    <w:rsid w:val="00EE1E28"/>
    <w:rsid w:val="00EE2342"/>
    <w:rsid w:val="00EE24E0"/>
    <w:rsid w:val="00EE2B4C"/>
    <w:rsid w:val="00EE2C33"/>
    <w:rsid w:val="00EE32E5"/>
    <w:rsid w:val="00EE35A7"/>
    <w:rsid w:val="00EE36D2"/>
    <w:rsid w:val="00EE3896"/>
    <w:rsid w:val="00EE3F87"/>
    <w:rsid w:val="00EE4332"/>
    <w:rsid w:val="00EE4DDD"/>
    <w:rsid w:val="00EE4EA7"/>
    <w:rsid w:val="00EE50A6"/>
    <w:rsid w:val="00EE52CA"/>
    <w:rsid w:val="00EE5BA6"/>
    <w:rsid w:val="00EE5CF8"/>
    <w:rsid w:val="00EE5DF0"/>
    <w:rsid w:val="00EE5FDE"/>
    <w:rsid w:val="00EE60B8"/>
    <w:rsid w:val="00EE64A2"/>
    <w:rsid w:val="00EE6E66"/>
    <w:rsid w:val="00EE6EB9"/>
    <w:rsid w:val="00EF0995"/>
    <w:rsid w:val="00EF1111"/>
    <w:rsid w:val="00EF1715"/>
    <w:rsid w:val="00EF2385"/>
    <w:rsid w:val="00EF3025"/>
    <w:rsid w:val="00EF32DC"/>
    <w:rsid w:val="00EF3B57"/>
    <w:rsid w:val="00EF3D78"/>
    <w:rsid w:val="00EF3F1B"/>
    <w:rsid w:val="00EF4080"/>
    <w:rsid w:val="00EF4739"/>
    <w:rsid w:val="00EF48C7"/>
    <w:rsid w:val="00EF4A42"/>
    <w:rsid w:val="00EF5660"/>
    <w:rsid w:val="00EF5B5B"/>
    <w:rsid w:val="00EF68E9"/>
    <w:rsid w:val="00EF6AB1"/>
    <w:rsid w:val="00EF6B71"/>
    <w:rsid w:val="00EF6EA4"/>
    <w:rsid w:val="00EF7045"/>
    <w:rsid w:val="00EF72AE"/>
    <w:rsid w:val="00F0029E"/>
    <w:rsid w:val="00F0051E"/>
    <w:rsid w:val="00F027A7"/>
    <w:rsid w:val="00F02ECD"/>
    <w:rsid w:val="00F02FBA"/>
    <w:rsid w:val="00F03793"/>
    <w:rsid w:val="00F038D8"/>
    <w:rsid w:val="00F0428F"/>
    <w:rsid w:val="00F043DA"/>
    <w:rsid w:val="00F044D2"/>
    <w:rsid w:val="00F04EB1"/>
    <w:rsid w:val="00F0501C"/>
    <w:rsid w:val="00F05CD7"/>
    <w:rsid w:val="00F06833"/>
    <w:rsid w:val="00F0691D"/>
    <w:rsid w:val="00F06A08"/>
    <w:rsid w:val="00F1001C"/>
    <w:rsid w:val="00F1021C"/>
    <w:rsid w:val="00F102F9"/>
    <w:rsid w:val="00F10551"/>
    <w:rsid w:val="00F11884"/>
    <w:rsid w:val="00F119D3"/>
    <w:rsid w:val="00F11DD0"/>
    <w:rsid w:val="00F12417"/>
    <w:rsid w:val="00F1258B"/>
    <w:rsid w:val="00F1321A"/>
    <w:rsid w:val="00F13CA6"/>
    <w:rsid w:val="00F148FF"/>
    <w:rsid w:val="00F15048"/>
    <w:rsid w:val="00F15056"/>
    <w:rsid w:val="00F1585A"/>
    <w:rsid w:val="00F15A7C"/>
    <w:rsid w:val="00F15C00"/>
    <w:rsid w:val="00F17011"/>
    <w:rsid w:val="00F175EF"/>
    <w:rsid w:val="00F1790E"/>
    <w:rsid w:val="00F17BDB"/>
    <w:rsid w:val="00F17C22"/>
    <w:rsid w:val="00F2054E"/>
    <w:rsid w:val="00F20575"/>
    <w:rsid w:val="00F205B2"/>
    <w:rsid w:val="00F2076A"/>
    <w:rsid w:val="00F21429"/>
    <w:rsid w:val="00F21F82"/>
    <w:rsid w:val="00F22035"/>
    <w:rsid w:val="00F22500"/>
    <w:rsid w:val="00F22AD2"/>
    <w:rsid w:val="00F22D17"/>
    <w:rsid w:val="00F22F01"/>
    <w:rsid w:val="00F23268"/>
    <w:rsid w:val="00F233D0"/>
    <w:rsid w:val="00F233F2"/>
    <w:rsid w:val="00F234D7"/>
    <w:rsid w:val="00F239A7"/>
    <w:rsid w:val="00F23A0D"/>
    <w:rsid w:val="00F23DAE"/>
    <w:rsid w:val="00F24B17"/>
    <w:rsid w:val="00F25333"/>
    <w:rsid w:val="00F254D1"/>
    <w:rsid w:val="00F25B58"/>
    <w:rsid w:val="00F25BB0"/>
    <w:rsid w:val="00F25BC4"/>
    <w:rsid w:val="00F26370"/>
    <w:rsid w:val="00F26651"/>
    <w:rsid w:val="00F26822"/>
    <w:rsid w:val="00F26D23"/>
    <w:rsid w:val="00F26FB4"/>
    <w:rsid w:val="00F27695"/>
    <w:rsid w:val="00F30357"/>
    <w:rsid w:val="00F30570"/>
    <w:rsid w:val="00F30847"/>
    <w:rsid w:val="00F31465"/>
    <w:rsid w:val="00F314CB"/>
    <w:rsid w:val="00F31C5F"/>
    <w:rsid w:val="00F31DBA"/>
    <w:rsid w:val="00F31F07"/>
    <w:rsid w:val="00F321AC"/>
    <w:rsid w:val="00F322E6"/>
    <w:rsid w:val="00F3262E"/>
    <w:rsid w:val="00F3291D"/>
    <w:rsid w:val="00F33015"/>
    <w:rsid w:val="00F33ACC"/>
    <w:rsid w:val="00F33DED"/>
    <w:rsid w:val="00F33E0F"/>
    <w:rsid w:val="00F33F21"/>
    <w:rsid w:val="00F34432"/>
    <w:rsid w:val="00F354D0"/>
    <w:rsid w:val="00F355CD"/>
    <w:rsid w:val="00F35AE6"/>
    <w:rsid w:val="00F363D7"/>
    <w:rsid w:val="00F36524"/>
    <w:rsid w:val="00F36C3D"/>
    <w:rsid w:val="00F3797F"/>
    <w:rsid w:val="00F37B1E"/>
    <w:rsid w:val="00F37B32"/>
    <w:rsid w:val="00F37EE4"/>
    <w:rsid w:val="00F40352"/>
    <w:rsid w:val="00F40814"/>
    <w:rsid w:val="00F40912"/>
    <w:rsid w:val="00F40C22"/>
    <w:rsid w:val="00F413ED"/>
    <w:rsid w:val="00F416C9"/>
    <w:rsid w:val="00F41D9F"/>
    <w:rsid w:val="00F41E28"/>
    <w:rsid w:val="00F42093"/>
    <w:rsid w:val="00F428A9"/>
    <w:rsid w:val="00F437F7"/>
    <w:rsid w:val="00F43B67"/>
    <w:rsid w:val="00F43BBB"/>
    <w:rsid w:val="00F44419"/>
    <w:rsid w:val="00F446BE"/>
    <w:rsid w:val="00F44814"/>
    <w:rsid w:val="00F44AB9"/>
    <w:rsid w:val="00F44B72"/>
    <w:rsid w:val="00F44E43"/>
    <w:rsid w:val="00F45279"/>
    <w:rsid w:val="00F4639D"/>
    <w:rsid w:val="00F46B82"/>
    <w:rsid w:val="00F46E92"/>
    <w:rsid w:val="00F4721C"/>
    <w:rsid w:val="00F47317"/>
    <w:rsid w:val="00F474DA"/>
    <w:rsid w:val="00F477CE"/>
    <w:rsid w:val="00F47A65"/>
    <w:rsid w:val="00F47F15"/>
    <w:rsid w:val="00F50001"/>
    <w:rsid w:val="00F5085B"/>
    <w:rsid w:val="00F50C85"/>
    <w:rsid w:val="00F5124A"/>
    <w:rsid w:val="00F5148F"/>
    <w:rsid w:val="00F51548"/>
    <w:rsid w:val="00F51914"/>
    <w:rsid w:val="00F52021"/>
    <w:rsid w:val="00F52B70"/>
    <w:rsid w:val="00F52D03"/>
    <w:rsid w:val="00F52D38"/>
    <w:rsid w:val="00F52F84"/>
    <w:rsid w:val="00F5328C"/>
    <w:rsid w:val="00F53657"/>
    <w:rsid w:val="00F53764"/>
    <w:rsid w:val="00F54014"/>
    <w:rsid w:val="00F543AC"/>
    <w:rsid w:val="00F546B1"/>
    <w:rsid w:val="00F54A7E"/>
    <w:rsid w:val="00F54FFA"/>
    <w:rsid w:val="00F55AB9"/>
    <w:rsid w:val="00F56BA8"/>
    <w:rsid w:val="00F571A6"/>
    <w:rsid w:val="00F579AA"/>
    <w:rsid w:val="00F6002D"/>
    <w:rsid w:val="00F60A92"/>
    <w:rsid w:val="00F60CD2"/>
    <w:rsid w:val="00F61425"/>
    <w:rsid w:val="00F61A43"/>
    <w:rsid w:val="00F61B71"/>
    <w:rsid w:val="00F62A01"/>
    <w:rsid w:val="00F632DD"/>
    <w:rsid w:val="00F636E0"/>
    <w:rsid w:val="00F63938"/>
    <w:rsid w:val="00F6396A"/>
    <w:rsid w:val="00F639FA"/>
    <w:rsid w:val="00F646D7"/>
    <w:rsid w:val="00F64D8A"/>
    <w:rsid w:val="00F650CE"/>
    <w:rsid w:val="00F6533D"/>
    <w:rsid w:val="00F654A4"/>
    <w:rsid w:val="00F6586C"/>
    <w:rsid w:val="00F6594C"/>
    <w:rsid w:val="00F662D5"/>
    <w:rsid w:val="00F669DA"/>
    <w:rsid w:val="00F66CCD"/>
    <w:rsid w:val="00F66F4F"/>
    <w:rsid w:val="00F67B04"/>
    <w:rsid w:val="00F67CD1"/>
    <w:rsid w:val="00F67F3B"/>
    <w:rsid w:val="00F703C8"/>
    <w:rsid w:val="00F70519"/>
    <w:rsid w:val="00F70952"/>
    <w:rsid w:val="00F70CBA"/>
    <w:rsid w:val="00F70ED8"/>
    <w:rsid w:val="00F7114A"/>
    <w:rsid w:val="00F713EE"/>
    <w:rsid w:val="00F718E3"/>
    <w:rsid w:val="00F71C68"/>
    <w:rsid w:val="00F72054"/>
    <w:rsid w:val="00F721DC"/>
    <w:rsid w:val="00F7270E"/>
    <w:rsid w:val="00F72AD3"/>
    <w:rsid w:val="00F72F7D"/>
    <w:rsid w:val="00F73246"/>
    <w:rsid w:val="00F73375"/>
    <w:rsid w:val="00F7366F"/>
    <w:rsid w:val="00F739F3"/>
    <w:rsid w:val="00F73F97"/>
    <w:rsid w:val="00F741E6"/>
    <w:rsid w:val="00F7439B"/>
    <w:rsid w:val="00F74860"/>
    <w:rsid w:val="00F748DC"/>
    <w:rsid w:val="00F74DB7"/>
    <w:rsid w:val="00F74DD2"/>
    <w:rsid w:val="00F753A1"/>
    <w:rsid w:val="00F755E9"/>
    <w:rsid w:val="00F75DA4"/>
    <w:rsid w:val="00F7710D"/>
    <w:rsid w:val="00F77E19"/>
    <w:rsid w:val="00F80747"/>
    <w:rsid w:val="00F8077F"/>
    <w:rsid w:val="00F80AEB"/>
    <w:rsid w:val="00F80E78"/>
    <w:rsid w:val="00F81327"/>
    <w:rsid w:val="00F82162"/>
    <w:rsid w:val="00F82909"/>
    <w:rsid w:val="00F82FAC"/>
    <w:rsid w:val="00F831BF"/>
    <w:rsid w:val="00F834D0"/>
    <w:rsid w:val="00F8368B"/>
    <w:rsid w:val="00F83C15"/>
    <w:rsid w:val="00F84467"/>
    <w:rsid w:val="00F845AC"/>
    <w:rsid w:val="00F852FA"/>
    <w:rsid w:val="00F85CE5"/>
    <w:rsid w:val="00F85E84"/>
    <w:rsid w:val="00F8611D"/>
    <w:rsid w:val="00F86853"/>
    <w:rsid w:val="00F86873"/>
    <w:rsid w:val="00F86D8F"/>
    <w:rsid w:val="00F8728E"/>
    <w:rsid w:val="00F90548"/>
    <w:rsid w:val="00F92395"/>
    <w:rsid w:val="00F92508"/>
    <w:rsid w:val="00F928CC"/>
    <w:rsid w:val="00F92A0B"/>
    <w:rsid w:val="00F92C7A"/>
    <w:rsid w:val="00F9344A"/>
    <w:rsid w:val="00F93F5C"/>
    <w:rsid w:val="00F944F7"/>
    <w:rsid w:val="00F94CCC"/>
    <w:rsid w:val="00F9561A"/>
    <w:rsid w:val="00F95E58"/>
    <w:rsid w:val="00F96D24"/>
    <w:rsid w:val="00F9700D"/>
    <w:rsid w:val="00F97026"/>
    <w:rsid w:val="00F97567"/>
    <w:rsid w:val="00F97F39"/>
    <w:rsid w:val="00FA0014"/>
    <w:rsid w:val="00FA0674"/>
    <w:rsid w:val="00FA06B3"/>
    <w:rsid w:val="00FA0F7E"/>
    <w:rsid w:val="00FA1995"/>
    <w:rsid w:val="00FA19C3"/>
    <w:rsid w:val="00FA23BF"/>
    <w:rsid w:val="00FA3328"/>
    <w:rsid w:val="00FA3AD4"/>
    <w:rsid w:val="00FA3B99"/>
    <w:rsid w:val="00FA3E03"/>
    <w:rsid w:val="00FA4332"/>
    <w:rsid w:val="00FA55F0"/>
    <w:rsid w:val="00FA5620"/>
    <w:rsid w:val="00FA56E5"/>
    <w:rsid w:val="00FA5E9D"/>
    <w:rsid w:val="00FA5F3E"/>
    <w:rsid w:val="00FA5F5D"/>
    <w:rsid w:val="00FA61D4"/>
    <w:rsid w:val="00FA6226"/>
    <w:rsid w:val="00FA64E7"/>
    <w:rsid w:val="00FA6960"/>
    <w:rsid w:val="00FA6A1E"/>
    <w:rsid w:val="00FA6B8A"/>
    <w:rsid w:val="00FA744B"/>
    <w:rsid w:val="00FA7AC1"/>
    <w:rsid w:val="00FA7E03"/>
    <w:rsid w:val="00FB04BE"/>
    <w:rsid w:val="00FB0747"/>
    <w:rsid w:val="00FB0795"/>
    <w:rsid w:val="00FB07A4"/>
    <w:rsid w:val="00FB0845"/>
    <w:rsid w:val="00FB0A6F"/>
    <w:rsid w:val="00FB0C81"/>
    <w:rsid w:val="00FB1237"/>
    <w:rsid w:val="00FB15F9"/>
    <w:rsid w:val="00FB1AFB"/>
    <w:rsid w:val="00FB264C"/>
    <w:rsid w:val="00FB27A9"/>
    <w:rsid w:val="00FB2823"/>
    <w:rsid w:val="00FB2A50"/>
    <w:rsid w:val="00FB349A"/>
    <w:rsid w:val="00FB34DD"/>
    <w:rsid w:val="00FB3619"/>
    <w:rsid w:val="00FB3856"/>
    <w:rsid w:val="00FB3A33"/>
    <w:rsid w:val="00FB3C51"/>
    <w:rsid w:val="00FB3FD5"/>
    <w:rsid w:val="00FB462B"/>
    <w:rsid w:val="00FB50FC"/>
    <w:rsid w:val="00FB5361"/>
    <w:rsid w:val="00FB5599"/>
    <w:rsid w:val="00FB64F2"/>
    <w:rsid w:val="00FB6B9E"/>
    <w:rsid w:val="00FB70DD"/>
    <w:rsid w:val="00FB7629"/>
    <w:rsid w:val="00FC03A9"/>
    <w:rsid w:val="00FC09F3"/>
    <w:rsid w:val="00FC0C17"/>
    <w:rsid w:val="00FC0E08"/>
    <w:rsid w:val="00FC19DB"/>
    <w:rsid w:val="00FC1BFA"/>
    <w:rsid w:val="00FC2A18"/>
    <w:rsid w:val="00FC2A7B"/>
    <w:rsid w:val="00FC325D"/>
    <w:rsid w:val="00FC37A8"/>
    <w:rsid w:val="00FC4242"/>
    <w:rsid w:val="00FC4348"/>
    <w:rsid w:val="00FC4682"/>
    <w:rsid w:val="00FC4871"/>
    <w:rsid w:val="00FC4ECB"/>
    <w:rsid w:val="00FC589C"/>
    <w:rsid w:val="00FC662D"/>
    <w:rsid w:val="00FC66C3"/>
    <w:rsid w:val="00FC6B57"/>
    <w:rsid w:val="00FC6C0B"/>
    <w:rsid w:val="00FC73C9"/>
    <w:rsid w:val="00FC799E"/>
    <w:rsid w:val="00FC7AD0"/>
    <w:rsid w:val="00FC7D25"/>
    <w:rsid w:val="00FC7FB8"/>
    <w:rsid w:val="00FD038D"/>
    <w:rsid w:val="00FD0578"/>
    <w:rsid w:val="00FD069B"/>
    <w:rsid w:val="00FD11E9"/>
    <w:rsid w:val="00FD16F1"/>
    <w:rsid w:val="00FD195E"/>
    <w:rsid w:val="00FD1F94"/>
    <w:rsid w:val="00FD1FEE"/>
    <w:rsid w:val="00FD23CF"/>
    <w:rsid w:val="00FD282B"/>
    <w:rsid w:val="00FD4C99"/>
    <w:rsid w:val="00FD5461"/>
    <w:rsid w:val="00FD5977"/>
    <w:rsid w:val="00FD5ABA"/>
    <w:rsid w:val="00FD5B12"/>
    <w:rsid w:val="00FD5C5F"/>
    <w:rsid w:val="00FD5E22"/>
    <w:rsid w:val="00FD66D5"/>
    <w:rsid w:val="00FD6720"/>
    <w:rsid w:val="00FD6DC3"/>
    <w:rsid w:val="00FD6E78"/>
    <w:rsid w:val="00FD783F"/>
    <w:rsid w:val="00FE0C2C"/>
    <w:rsid w:val="00FE12CA"/>
    <w:rsid w:val="00FE18ED"/>
    <w:rsid w:val="00FE1AF2"/>
    <w:rsid w:val="00FE24C2"/>
    <w:rsid w:val="00FE2591"/>
    <w:rsid w:val="00FE3369"/>
    <w:rsid w:val="00FE3907"/>
    <w:rsid w:val="00FE3909"/>
    <w:rsid w:val="00FE4572"/>
    <w:rsid w:val="00FE483F"/>
    <w:rsid w:val="00FE4C78"/>
    <w:rsid w:val="00FE5F6E"/>
    <w:rsid w:val="00FE64D6"/>
    <w:rsid w:val="00FE66F9"/>
    <w:rsid w:val="00FF00CA"/>
    <w:rsid w:val="00FF0D07"/>
    <w:rsid w:val="00FF0ECC"/>
    <w:rsid w:val="00FF0ED9"/>
    <w:rsid w:val="00FF1444"/>
    <w:rsid w:val="00FF1473"/>
    <w:rsid w:val="00FF14C5"/>
    <w:rsid w:val="00FF1894"/>
    <w:rsid w:val="00FF19E1"/>
    <w:rsid w:val="00FF1AB6"/>
    <w:rsid w:val="00FF2171"/>
    <w:rsid w:val="00FF23CF"/>
    <w:rsid w:val="00FF281F"/>
    <w:rsid w:val="00FF2FED"/>
    <w:rsid w:val="00FF4B96"/>
    <w:rsid w:val="00FF4D90"/>
    <w:rsid w:val="00FF5026"/>
    <w:rsid w:val="00FF5323"/>
    <w:rsid w:val="00FF5BA4"/>
    <w:rsid w:val="00FF5BC1"/>
    <w:rsid w:val="00FF5D24"/>
    <w:rsid w:val="00FF5E00"/>
    <w:rsid w:val="00FF6A8E"/>
    <w:rsid w:val="00FF6E6E"/>
    <w:rsid w:val="00FF7837"/>
    <w:rsid w:val="00FF7950"/>
    <w:rsid w:val="00FF7A16"/>
    <w:rsid w:val="00FF7CA4"/>
    <w:rsid w:val="00FF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03FA0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828"/>
  </w:style>
  <w:style w:type="paragraph" w:styleId="Heading1">
    <w:name w:val="heading 1"/>
    <w:basedOn w:val="Normal"/>
    <w:next w:val="Normal"/>
    <w:link w:val="Heading1Char"/>
    <w:qFormat/>
    <w:rsid w:val="00C155BA"/>
    <w:pPr>
      <w:keepNext/>
      <w:numPr>
        <w:numId w:val="2"/>
      </w:numPr>
      <w:outlineLvl w:val="0"/>
    </w:pPr>
    <w:rPr>
      <w:b/>
    </w:rPr>
  </w:style>
  <w:style w:type="paragraph" w:styleId="Heading2">
    <w:name w:val="heading 2"/>
    <w:basedOn w:val="Normal"/>
    <w:next w:val="Normal"/>
    <w:link w:val="Heading2Char"/>
    <w:qFormat/>
    <w:rsid w:val="00C155BA"/>
    <w:pPr>
      <w:keepNext/>
      <w:spacing w:line="480" w:lineRule="auto"/>
      <w:ind w:left="720"/>
      <w:outlineLvl w:val="1"/>
    </w:pPr>
    <w:rPr>
      <w:b/>
      <w:sz w:val="24"/>
    </w:rPr>
  </w:style>
  <w:style w:type="paragraph" w:styleId="Heading3">
    <w:name w:val="heading 3"/>
    <w:basedOn w:val="Normal"/>
    <w:next w:val="Normal"/>
    <w:qFormat/>
    <w:rsid w:val="00C155BA"/>
    <w:pPr>
      <w:keepNext/>
      <w:numPr>
        <w:numId w:val="1"/>
      </w:numPr>
      <w:spacing w:line="480" w:lineRule="auto"/>
      <w:outlineLvl w:val="2"/>
    </w:pPr>
    <w:rPr>
      <w:b/>
      <w:sz w:val="24"/>
    </w:rPr>
  </w:style>
  <w:style w:type="paragraph" w:styleId="Heading4">
    <w:name w:val="heading 4"/>
    <w:basedOn w:val="Normal"/>
    <w:next w:val="Normal"/>
    <w:qFormat/>
    <w:rsid w:val="00C155BA"/>
    <w:pPr>
      <w:keepNext/>
      <w:numPr>
        <w:numId w:val="3"/>
      </w:numPr>
      <w:spacing w:line="480" w:lineRule="auto"/>
      <w:outlineLvl w:val="3"/>
    </w:pPr>
    <w:rPr>
      <w:sz w:val="24"/>
    </w:rPr>
  </w:style>
  <w:style w:type="paragraph" w:styleId="Heading5">
    <w:name w:val="heading 5"/>
    <w:basedOn w:val="Normal"/>
    <w:next w:val="Normal"/>
    <w:qFormat/>
    <w:rsid w:val="00C155BA"/>
    <w:pPr>
      <w:keepNext/>
      <w:jc w:val="center"/>
      <w:outlineLvl w:val="4"/>
    </w:pPr>
    <w:rPr>
      <w:rFonts w:ascii="Arial" w:hAnsi="Arial"/>
      <w:b/>
      <w:sz w:val="24"/>
    </w:rPr>
  </w:style>
  <w:style w:type="paragraph" w:styleId="Heading6">
    <w:name w:val="heading 6"/>
    <w:basedOn w:val="Normal"/>
    <w:next w:val="Normal"/>
    <w:qFormat/>
    <w:rsid w:val="00C155BA"/>
    <w:pPr>
      <w:keepNext/>
      <w:ind w:left="-53" w:right="-107"/>
      <w:outlineLvl w:val="5"/>
    </w:pPr>
    <w:rPr>
      <w:rFonts w:ascii="Arial" w:hAnsi="Arial"/>
      <w:b/>
      <w:sz w:val="24"/>
    </w:rPr>
  </w:style>
  <w:style w:type="paragraph" w:styleId="Heading7">
    <w:name w:val="heading 7"/>
    <w:basedOn w:val="Normal"/>
    <w:next w:val="Normal"/>
    <w:qFormat/>
    <w:rsid w:val="00C155BA"/>
    <w:pPr>
      <w:keepNext/>
      <w:ind w:left="-117" w:right="-107" w:firstLine="81"/>
      <w:outlineLvl w:val="6"/>
    </w:pPr>
    <w:rPr>
      <w:rFonts w:ascii="Arial" w:hAnsi="Arial"/>
      <w:b/>
      <w:sz w:val="24"/>
    </w:rPr>
  </w:style>
  <w:style w:type="paragraph" w:styleId="Heading8">
    <w:name w:val="heading 8"/>
    <w:basedOn w:val="Normal"/>
    <w:next w:val="Normal"/>
    <w:qFormat/>
    <w:rsid w:val="00C155BA"/>
    <w:pPr>
      <w:keepNext/>
      <w:outlineLvl w:val="7"/>
    </w:pPr>
    <w:rPr>
      <w:sz w:val="24"/>
    </w:rPr>
  </w:style>
  <w:style w:type="paragraph" w:styleId="Heading9">
    <w:name w:val="heading 9"/>
    <w:basedOn w:val="Normal"/>
    <w:next w:val="Normal"/>
    <w:qFormat/>
    <w:rsid w:val="00C155BA"/>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155BA"/>
    <w:pPr>
      <w:ind w:left="720" w:hanging="720"/>
    </w:pPr>
  </w:style>
  <w:style w:type="paragraph" w:styleId="Title">
    <w:name w:val="Title"/>
    <w:basedOn w:val="Normal"/>
    <w:qFormat/>
    <w:rsid w:val="00C155BA"/>
    <w:pPr>
      <w:spacing w:line="480" w:lineRule="atLeast"/>
      <w:ind w:left="720" w:hanging="720"/>
      <w:jc w:val="center"/>
    </w:pPr>
    <w:rPr>
      <w:rFonts w:ascii="Arial" w:hAnsi="Arial"/>
      <w:b/>
      <w:sz w:val="24"/>
    </w:rPr>
  </w:style>
  <w:style w:type="paragraph" w:styleId="Footer">
    <w:name w:val="footer"/>
    <w:basedOn w:val="Normal"/>
    <w:link w:val="FooterChar"/>
    <w:uiPriority w:val="99"/>
    <w:rsid w:val="00C155BA"/>
    <w:pPr>
      <w:tabs>
        <w:tab w:val="center" w:pos="4320"/>
        <w:tab w:val="right" w:pos="8640"/>
      </w:tabs>
    </w:pPr>
  </w:style>
  <w:style w:type="character" w:styleId="PageNumber">
    <w:name w:val="page number"/>
    <w:basedOn w:val="DefaultParagraphFont"/>
    <w:rsid w:val="00C155BA"/>
  </w:style>
  <w:style w:type="paragraph" w:styleId="BodyTextIndent2">
    <w:name w:val="Body Text Indent 2"/>
    <w:basedOn w:val="Normal"/>
    <w:link w:val="BodyTextIndent2Char"/>
    <w:rsid w:val="00C155BA"/>
    <w:pPr>
      <w:spacing w:line="480" w:lineRule="auto"/>
      <w:ind w:left="720" w:hanging="720"/>
    </w:pPr>
    <w:rPr>
      <w:sz w:val="24"/>
    </w:rPr>
  </w:style>
  <w:style w:type="paragraph" w:styleId="BodyText">
    <w:name w:val="Body Text"/>
    <w:basedOn w:val="Normal"/>
    <w:rsid w:val="00C155BA"/>
    <w:pPr>
      <w:spacing w:line="480" w:lineRule="auto"/>
    </w:pPr>
    <w:rPr>
      <w:b/>
      <w:sz w:val="24"/>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qFormat/>
    <w:rsid w:val="0015183E"/>
    <w:pPr>
      <w:keepLines/>
    </w:p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qFormat/>
    <w:rsid w:val="00C155BA"/>
    <w:rPr>
      <w:vertAlign w:val="superscript"/>
    </w:rPr>
  </w:style>
  <w:style w:type="character" w:styleId="LineNumber">
    <w:name w:val="line number"/>
    <w:basedOn w:val="DefaultParagraphFont"/>
    <w:rsid w:val="00C155BA"/>
  </w:style>
  <w:style w:type="paragraph" w:styleId="Header">
    <w:name w:val="header"/>
    <w:basedOn w:val="Normal"/>
    <w:link w:val="HeaderChar"/>
    <w:rsid w:val="00C155BA"/>
    <w:pPr>
      <w:tabs>
        <w:tab w:val="center" w:pos="4320"/>
        <w:tab w:val="right" w:pos="8640"/>
      </w:tabs>
    </w:pPr>
  </w:style>
  <w:style w:type="paragraph" w:styleId="BodyTextIndent3">
    <w:name w:val="Body Text Indent 3"/>
    <w:basedOn w:val="Normal"/>
    <w:rsid w:val="00C155BA"/>
    <w:pPr>
      <w:spacing w:line="480" w:lineRule="auto"/>
      <w:ind w:left="720"/>
    </w:pPr>
    <w:rPr>
      <w:sz w:val="24"/>
    </w:rPr>
  </w:style>
  <w:style w:type="character" w:styleId="Hyperlink">
    <w:name w:val="Hyperlink"/>
    <w:basedOn w:val="DefaultParagraphFont"/>
    <w:uiPriority w:val="99"/>
    <w:rsid w:val="00C155BA"/>
    <w:rPr>
      <w:color w:val="0000FF"/>
      <w:u w:val="single"/>
    </w:rPr>
  </w:style>
  <w:style w:type="paragraph" w:styleId="BlockText">
    <w:name w:val="Block Text"/>
    <w:basedOn w:val="Normal"/>
    <w:rsid w:val="00C155BA"/>
    <w:pPr>
      <w:ind w:left="1440" w:right="720"/>
    </w:pPr>
    <w:rPr>
      <w:sz w:val="24"/>
    </w:rPr>
  </w:style>
  <w:style w:type="paragraph" w:customStyle="1" w:styleId="Q">
    <w:name w:val="Q"/>
    <w:basedOn w:val="Normal"/>
    <w:rsid w:val="00C155BA"/>
    <w:pPr>
      <w:keepNext/>
      <w:spacing w:before="240" w:line="480" w:lineRule="atLeast"/>
      <w:ind w:left="720" w:hanging="720"/>
      <w:jc w:val="both"/>
    </w:pPr>
    <w:rPr>
      <w:sz w:val="24"/>
    </w:rPr>
  </w:style>
  <w:style w:type="paragraph" w:styleId="BodyText2">
    <w:name w:val="Body Text 2"/>
    <w:basedOn w:val="Normal"/>
    <w:rsid w:val="00C155BA"/>
    <w:rPr>
      <w:sz w:val="24"/>
    </w:rPr>
  </w:style>
  <w:style w:type="paragraph" w:styleId="BodyText3">
    <w:name w:val="Body Text 3"/>
    <w:basedOn w:val="Normal"/>
    <w:rsid w:val="00C155BA"/>
    <w:pPr>
      <w:spacing w:line="360" w:lineRule="auto"/>
      <w:jc w:val="both"/>
    </w:pPr>
    <w:rPr>
      <w:b/>
      <w:sz w:val="24"/>
    </w:rPr>
  </w:style>
  <w:style w:type="paragraph" w:styleId="BalloonText">
    <w:name w:val="Balloon Text"/>
    <w:basedOn w:val="Normal"/>
    <w:semiHidden/>
    <w:rsid w:val="00EE2B4C"/>
    <w:rPr>
      <w:rFonts w:ascii="Tahoma" w:hAnsi="Tahoma" w:cs="Tahoma"/>
      <w:sz w:val="16"/>
      <w:szCs w:val="16"/>
    </w:rPr>
  </w:style>
  <w:style w:type="character" w:styleId="FollowedHyperlink">
    <w:name w:val="FollowedHyperlink"/>
    <w:basedOn w:val="DefaultParagraphFont"/>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qFormat/>
    <w:rsid w:val="003E39A2"/>
    <w:pPr>
      <w:suppressLineNumbers/>
      <w:tabs>
        <w:tab w:val="left" w:pos="440"/>
        <w:tab w:val="right" w:leader="dot" w:pos="9350"/>
      </w:tabs>
      <w:spacing w:before="120" w:after="120"/>
    </w:pPr>
    <w:rPr>
      <w:noProof/>
    </w:rPr>
  </w:style>
  <w:style w:type="character" w:styleId="EndnoteReference">
    <w:name w:val="endnote reference"/>
    <w:basedOn w:val="DefaultParagraphFont"/>
    <w:semiHidden/>
    <w:rsid w:val="00420CAE"/>
    <w:rPr>
      <w:vertAlign w:val="superscript"/>
    </w:rPr>
  </w:style>
  <w:style w:type="paragraph" w:customStyle="1" w:styleId="PC-1">
    <w:name w:val="PC-1"/>
    <w:basedOn w:val="Normal"/>
    <w:rsid w:val="00135A49"/>
    <w:pPr>
      <w:tabs>
        <w:tab w:val="left" w:pos="360"/>
        <w:tab w:val="left" w:pos="900"/>
        <w:tab w:val="left" w:pos="1872"/>
        <w:tab w:val="left" w:pos="2495"/>
        <w:tab w:val="left" w:pos="3071"/>
        <w:tab w:val="left" w:pos="3647"/>
      </w:tabs>
      <w:spacing w:before="240"/>
      <w:ind w:left="900" w:hanging="540"/>
      <w:jc w:val="both"/>
    </w:pPr>
  </w:style>
  <w:style w:type="paragraph" w:customStyle="1" w:styleId="PC-2">
    <w:name w:val="PC-2"/>
    <w:basedOn w:val="Normal"/>
    <w:rsid w:val="00135A49"/>
    <w:pPr>
      <w:tabs>
        <w:tab w:val="left" w:pos="360"/>
        <w:tab w:val="left" w:pos="1350"/>
        <w:tab w:val="left" w:pos="2495"/>
        <w:tab w:val="left" w:pos="3071"/>
        <w:tab w:val="left" w:pos="3647"/>
      </w:tabs>
      <w:ind w:left="1350" w:hanging="450"/>
      <w:jc w:val="both"/>
    </w:pPr>
  </w:style>
  <w:style w:type="paragraph" w:styleId="ListParagraph">
    <w:name w:val="List Paragraph"/>
    <w:basedOn w:val="Normal"/>
    <w:uiPriority w:val="34"/>
    <w:qFormat/>
    <w:rsid w:val="00135A49"/>
    <w:pPr>
      <w:ind w:left="720"/>
      <w:contextualSpacing/>
    </w:pPr>
    <w:rPr>
      <w:sz w:val="24"/>
      <w:szCs w:val="24"/>
    </w:rPr>
  </w:style>
  <w:style w:type="paragraph" w:customStyle="1" w:styleId="a0">
    <w:name w:val="a"/>
    <w:basedOn w:val="Normal"/>
    <w:link w:val="aChar"/>
    <w:rsid w:val="0093422F"/>
    <w:pPr>
      <w:tabs>
        <w:tab w:val="left" w:pos="720"/>
        <w:tab w:val="left" w:pos="1440"/>
      </w:tabs>
      <w:spacing w:after="120"/>
      <w:ind w:firstLine="288"/>
      <w:jc w:val="both"/>
    </w:pPr>
    <w:rPr>
      <w:sz w:val="22"/>
    </w:rPr>
  </w:style>
  <w:style w:type="character" w:customStyle="1" w:styleId="aChar">
    <w:name w:val="a Char"/>
    <w:basedOn w:val="DefaultParagraphFont"/>
    <w:link w:val="a0"/>
    <w:rsid w:val="0093422F"/>
    <w:rPr>
      <w:sz w:val="22"/>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rsid w:val="0015183E"/>
  </w:style>
  <w:style w:type="paragraph" w:customStyle="1" w:styleId="Default">
    <w:name w:val="Default"/>
    <w:rsid w:val="00A10C5B"/>
    <w:pPr>
      <w:autoSpaceDE w:val="0"/>
      <w:autoSpaceDN w:val="0"/>
      <w:adjustRightInd w:val="0"/>
    </w:pPr>
    <w:rPr>
      <w:rFonts w:ascii="Arial" w:hAnsi="Arial" w:cs="Arial"/>
      <w:color w:val="000000"/>
      <w:sz w:val="24"/>
      <w:szCs w:val="24"/>
    </w:rPr>
  </w:style>
  <w:style w:type="paragraph" w:customStyle="1" w:styleId="CM5">
    <w:name w:val="CM5"/>
    <w:basedOn w:val="Default"/>
    <w:next w:val="Default"/>
    <w:uiPriority w:val="99"/>
    <w:rsid w:val="00A10C5B"/>
    <w:pPr>
      <w:spacing w:line="243" w:lineRule="atLeast"/>
    </w:pPr>
    <w:rPr>
      <w:color w:val="auto"/>
    </w:rPr>
  </w:style>
  <w:style w:type="table" w:styleId="TableGrid">
    <w:name w:val="Table Grid"/>
    <w:basedOn w:val="TableNormal"/>
    <w:uiPriority w:val="59"/>
    <w:rsid w:val="00232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temList">
    <w:name w:val="Item List"/>
    <w:basedOn w:val="Normal"/>
    <w:rsid w:val="00B2478F"/>
    <w:pPr>
      <w:spacing w:before="360" w:line="360" w:lineRule="auto"/>
      <w:ind w:left="720" w:hanging="720"/>
      <w:jc w:val="both"/>
    </w:pPr>
    <w:rPr>
      <w:sz w:val="24"/>
    </w:rPr>
  </w:style>
  <w:style w:type="paragraph" w:customStyle="1" w:styleId="subclause">
    <w:name w:val="subclause"/>
    <w:basedOn w:val="Normal"/>
    <w:rsid w:val="006A2639"/>
    <w:pPr>
      <w:spacing w:line="480" w:lineRule="auto"/>
      <w:ind w:left="3600" w:hanging="720"/>
    </w:pPr>
    <w:rPr>
      <w:sz w:val="24"/>
    </w:rPr>
  </w:style>
  <w:style w:type="paragraph" w:customStyle="1" w:styleId="subparagraph">
    <w:name w:val="subparagraph"/>
    <w:basedOn w:val="Normal"/>
    <w:rsid w:val="006A2639"/>
    <w:pPr>
      <w:spacing w:line="480" w:lineRule="auto"/>
      <w:ind w:left="2160" w:hanging="720"/>
    </w:pPr>
    <w:rPr>
      <w:sz w:val="24"/>
    </w:rPr>
  </w:style>
  <w:style w:type="paragraph" w:customStyle="1" w:styleId="SRaChar">
    <w:name w:val="SR(a) Char"/>
    <w:basedOn w:val="Normal"/>
    <w:rsid w:val="006A2639"/>
    <w:pPr>
      <w:tabs>
        <w:tab w:val="left" w:pos="360"/>
        <w:tab w:val="left" w:pos="720"/>
        <w:tab w:val="left" w:pos="1872"/>
        <w:tab w:val="left" w:pos="2495"/>
        <w:tab w:val="left" w:pos="3071"/>
        <w:tab w:val="left" w:pos="3647"/>
        <w:tab w:val="left" w:pos="8910"/>
      </w:tabs>
      <w:spacing w:before="240"/>
      <w:ind w:left="720" w:hanging="446"/>
      <w:jc w:val="both"/>
    </w:pPr>
    <w:rPr>
      <w:rFonts w:ascii="Tms Rmn" w:eastAsia="MS Mincho" w:hAnsi="Tms Rmn"/>
    </w:rPr>
  </w:style>
  <w:style w:type="character" w:customStyle="1" w:styleId="HeaderChar">
    <w:name w:val="Header Char"/>
    <w:basedOn w:val="DefaultParagraphFont"/>
    <w:link w:val="Header"/>
    <w:uiPriority w:val="99"/>
    <w:rsid w:val="008F3764"/>
  </w:style>
  <w:style w:type="character" w:styleId="CommentReference">
    <w:name w:val="annotation reference"/>
    <w:basedOn w:val="DefaultParagraphFont"/>
    <w:uiPriority w:val="99"/>
    <w:rsid w:val="004A5AAA"/>
    <w:rPr>
      <w:sz w:val="16"/>
      <w:szCs w:val="16"/>
    </w:rPr>
  </w:style>
  <w:style w:type="paragraph" w:styleId="CommentText">
    <w:name w:val="annotation text"/>
    <w:basedOn w:val="Normal"/>
    <w:link w:val="CommentTextChar"/>
    <w:rsid w:val="004A5AAA"/>
  </w:style>
  <w:style w:type="character" w:customStyle="1" w:styleId="CommentTextChar">
    <w:name w:val="Comment Text Char"/>
    <w:basedOn w:val="DefaultParagraphFont"/>
    <w:link w:val="CommentText"/>
    <w:rsid w:val="004A5AAA"/>
  </w:style>
  <w:style w:type="paragraph" w:styleId="CommentSubject">
    <w:name w:val="annotation subject"/>
    <w:basedOn w:val="CommentText"/>
    <w:next w:val="CommentText"/>
    <w:link w:val="CommentSubjectChar"/>
    <w:rsid w:val="004A5AAA"/>
    <w:rPr>
      <w:b/>
      <w:bCs/>
    </w:rPr>
  </w:style>
  <w:style w:type="character" w:customStyle="1" w:styleId="CommentSubjectChar">
    <w:name w:val="Comment Subject Char"/>
    <w:basedOn w:val="CommentTextChar"/>
    <w:link w:val="CommentSubject"/>
    <w:rsid w:val="004A5AAA"/>
    <w:rPr>
      <w:b/>
      <w:bCs/>
    </w:rPr>
  </w:style>
  <w:style w:type="paragraph" w:styleId="Quote">
    <w:name w:val="Quote"/>
    <w:basedOn w:val="Normal"/>
    <w:next w:val="Normal"/>
    <w:link w:val="QuoteChar"/>
    <w:uiPriority w:val="29"/>
    <w:qFormat/>
    <w:rsid w:val="00D01E95"/>
    <w:rPr>
      <w:i/>
      <w:iCs/>
      <w:color w:val="000000" w:themeColor="text1"/>
    </w:rPr>
  </w:style>
  <w:style w:type="character" w:customStyle="1" w:styleId="QuoteChar">
    <w:name w:val="Quote Char"/>
    <w:basedOn w:val="DefaultParagraphFont"/>
    <w:link w:val="Quote"/>
    <w:uiPriority w:val="29"/>
    <w:rsid w:val="00D01E95"/>
    <w:rPr>
      <w:i/>
      <w:iCs/>
      <w:color w:val="000000" w:themeColor="text1"/>
    </w:rPr>
  </w:style>
  <w:style w:type="character" w:customStyle="1" w:styleId="FooterChar">
    <w:name w:val="Footer Char"/>
    <w:basedOn w:val="DefaultParagraphFont"/>
    <w:link w:val="Footer"/>
    <w:uiPriority w:val="99"/>
    <w:rsid w:val="002D0161"/>
  </w:style>
  <w:style w:type="paragraph" w:styleId="Revision">
    <w:name w:val="Revision"/>
    <w:hidden/>
    <w:uiPriority w:val="99"/>
    <w:semiHidden/>
    <w:rsid w:val="00082362"/>
  </w:style>
  <w:style w:type="paragraph" w:styleId="TOCHeading">
    <w:name w:val="TOC Heading"/>
    <w:basedOn w:val="Heading1"/>
    <w:next w:val="Normal"/>
    <w:uiPriority w:val="39"/>
    <w:unhideWhenUsed/>
    <w:qFormat/>
    <w:rsid w:val="00EB027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C708C7"/>
    <w:pPr>
      <w:suppressLineNumbers/>
      <w:tabs>
        <w:tab w:val="left" w:pos="630"/>
        <w:tab w:val="right" w:leader="dot" w:pos="9350"/>
      </w:tabs>
      <w:spacing w:after="100" w:line="276" w:lineRule="auto"/>
      <w:ind w:left="220"/>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qFormat/>
    <w:rsid w:val="00EB027F"/>
    <w:pPr>
      <w:spacing w:after="100" w:line="276" w:lineRule="auto"/>
      <w:ind w:left="440"/>
    </w:pPr>
    <w:rPr>
      <w:rFonts w:asciiTheme="minorHAnsi" w:eastAsiaTheme="minorEastAsia" w:hAnsiTheme="minorHAnsi" w:cstheme="minorBidi"/>
      <w:sz w:val="22"/>
      <w:szCs w:val="22"/>
      <w:lang w:eastAsia="ja-JP"/>
    </w:rPr>
  </w:style>
  <w:style w:type="paragraph" w:customStyle="1" w:styleId="FOFNumbered">
    <w:name w:val="FOF Numbered"/>
    <w:basedOn w:val="Normal"/>
    <w:link w:val="FOFNumberedChar"/>
    <w:qFormat/>
    <w:rsid w:val="00466044"/>
    <w:pPr>
      <w:numPr>
        <w:numId w:val="4"/>
      </w:numPr>
      <w:spacing w:before="120" w:line="360" w:lineRule="auto"/>
      <w:jc w:val="both"/>
    </w:pPr>
    <w:rPr>
      <w:snapToGrid w:val="0"/>
      <w:sz w:val="24"/>
    </w:rPr>
  </w:style>
  <w:style w:type="paragraph" w:customStyle="1" w:styleId="FOFCOL">
    <w:name w:val="FOF/COL"/>
    <w:basedOn w:val="BodyText"/>
    <w:rsid w:val="000B49FA"/>
    <w:pPr>
      <w:spacing w:before="120" w:line="360" w:lineRule="auto"/>
      <w:ind w:left="720" w:hanging="720"/>
      <w:jc w:val="both"/>
    </w:pPr>
    <w:rPr>
      <w:b w:val="0"/>
      <w:snapToGrid w:val="0"/>
    </w:rPr>
  </w:style>
  <w:style w:type="character" w:styleId="PlaceholderText">
    <w:name w:val="Placeholder Text"/>
    <w:basedOn w:val="DefaultParagraphFont"/>
    <w:uiPriority w:val="99"/>
    <w:semiHidden/>
    <w:rsid w:val="00191926"/>
    <w:rPr>
      <w:color w:val="808080"/>
    </w:rPr>
  </w:style>
  <w:style w:type="table" w:styleId="TableColumns1">
    <w:name w:val="Table Columns 1"/>
    <w:basedOn w:val="TableNormal"/>
    <w:rsid w:val="001A726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AB2E70"/>
    <w:rPr>
      <w:i/>
      <w:iCs/>
    </w:rPr>
  </w:style>
  <w:style w:type="character" w:customStyle="1" w:styleId="BodyTextIndent2Char">
    <w:name w:val="Body Text Indent 2 Char"/>
    <w:link w:val="BodyTextIndent2"/>
    <w:rsid w:val="00637BF5"/>
    <w:rPr>
      <w:sz w:val="24"/>
    </w:rPr>
  </w:style>
  <w:style w:type="character" w:customStyle="1" w:styleId="Heading1Char">
    <w:name w:val="Heading 1 Char"/>
    <w:basedOn w:val="DefaultParagraphFont"/>
    <w:link w:val="Heading1"/>
    <w:rsid w:val="002A79A5"/>
    <w:rPr>
      <w:b/>
    </w:rPr>
  </w:style>
  <w:style w:type="character" w:customStyle="1" w:styleId="Heading2Char">
    <w:name w:val="Heading 2 Char"/>
    <w:basedOn w:val="DefaultParagraphFont"/>
    <w:link w:val="Heading2"/>
    <w:rsid w:val="002A79A5"/>
    <w:rPr>
      <w:b/>
      <w:sz w:val="24"/>
    </w:rPr>
  </w:style>
  <w:style w:type="paragraph" w:customStyle="1" w:styleId="COLNumbered">
    <w:name w:val="COL Numbered"/>
    <w:basedOn w:val="FOFNumbered"/>
    <w:rsid w:val="00800D85"/>
    <w:pPr>
      <w:numPr>
        <w:numId w:val="0"/>
      </w:numPr>
      <w:tabs>
        <w:tab w:val="num" w:pos="360"/>
      </w:tabs>
    </w:pPr>
  </w:style>
  <w:style w:type="paragraph" w:customStyle="1" w:styleId="OrderingNumbered">
    <w:name w:val="Ordering Numbered"/>
    <w:basedOn w:val="FOFNumbered"/>
    <w:rsid w:val="00800D85"/>
    <w:pPr>
      <w:numPr>
        <w:numId w:val="0"/>
      </w:numPr>
      <w:tabs>
        <w:tab w:val="num" w:pos="360"/>
      </w:tabs>
    </w:pPr>
  </w:style>
  <w:style w:type="character" w:customStyle="1" w:styleId="FOFNumberedChar">
    <w:name w:val="FOF Numbered Char"/>
    <w:link w:val="FOFNumbered"/>
    <w:rsid w:val="003B1080"/>
    <w:rPr>
      <w:snapToGrid w:val="0"/>
      <w:sz w:val="24"/>
    </w:rPr>
  </w:style>
  <w:style w:type="paragraph" w:styleId="PlainText">
    <w:name w:val="Plain Text"/>
    <w:basedOn w:val="Normal"/>
    <w:link w:val="PlainTextChar"/>
    <w:uiPriority w:val="99"/>
    <w:rsid w:val="001B6F38"/>
    <w:rPr>
      <w:rFonts w:ascii="Courier New" w:hAnsi="Courier New"/>
    </w:rPr>
  </w:style>
  <w:style w:type="character" w:customStyle="1" w:styleId="PlainTextChar">
    <w:name w:val="Plain Text Char"/>
    <w:basedOn w:val="DefaultParagraphFont"/>
    <w:link w:val="PlainText"/>
    <w:uiPriority w:val="99"/>
    <w:rsid w:val="001B6F38"/>
    <w:rPr>
      <w:rFonts w:ascii="Courier New" w:hAnsi="Courier New"/>
    </w:rPr>
  </w:style>
  <w:style w:type="paragraph" w:customStyle="1" w:styleId="answer">
    <w:name w:val="answer"/>
    <w:basedOn w:val="BodyTextIndent"/>
    <w:link w:val="answerChar"/>
    <w:rsid w:val="006F4F12"/>
    <w:pPr>
      <w:tabs>
        <w:tab w:val="num" w:pos="-3420"/>
        <w:tab w:val="left" w:pos="-3330"/>
        <w:tab w:val="num" w:pos="360"/>
      </w:tabs>
      <w:spacing w:after="240" w:line="480" w:lineRule="auto"/>
      <w:ind w:right="360"/>
      <w:jc w:val="both"/>
    </w:pPr>
    <w:rPr>
      <w:sz w:val="24"/>
      <w:szCs w:val="24"/>
    </w:rPr>
  </w:style>
  <w:style w:type="character" w:customStyle="1" w:styleId="answerChar">
    <w:name w:val="answer Char"/>
    <w:link w:val="answer"/>
    <w:rsid w:val="006F4F12"/>
    <w:rPr>
      <w:sz w:val="24"/>
      <w:szCs w:val="24"/>
    </w:rPr>
  </w:style>
  <w:style w:type="paragraph" w:customStyle="1" w:styleId="question">
    <w:name w:val="question"/>
    <w:basedOn w:val="Normal"/>
    <w:link w:val="questionChar"/>
    <w:rsid w:val="002457D8"/>
    <w:pPr>
      <w:keepNext/>
      <w:keepLines/>
      <w:tabs>
        <w:tab w:val="left" w:pos="720"/>
      </w:tabs>
      <w:spacing w:line="480" w:lineRule="auto"/>
      <w:ind w:left="720" w:hanging="720"/>
      <w:jc w:val="both"/>
    </w:pPr>
    <w:rPr>
      <w:b/>
      <w:sz w:val="24"/>
      <w:szCs w:val="24"/>
    </w:rPr>
  </w:style>
  <w:style w:type="character" w:customStyle="1" w:styleId="questionChar">
    <w:name w:val="question Char"/>
    <w:link w:val="question"/>
    <w:rsid w:val="002457D8"/>
    <w:rPr>
      <w:b/>
      <w:sz w:val="24"/>
      <w:szCs w:val="24"/>
    </w:rPr>
  </w:style>
  <w:style w:type="paragraph" w:customStyle="1" w:styleId="additionalparagraph">
    <w:name w:val="additional paragraph"/>
    <w:basedOn w:val="answer"/>
    <w:rsid w:val="00B70865"/>
    <w:pPr>
      <w:tabs>
        <w:tab w:val="clear" w:pos="-3420"/>
      </w:tabs>
      <w:spacing w:after="0"/>
      <w:ind w:firstLine="720"/>
    </w:pPr>
  </w:style>
  <w:style w:type="paragraph" w:styleId="Caption">
    <w:name w:val="caption"/>
    <w:basedOn w:val="Normal"/>
    <w:next w:val="Normal"/>
    <w:unhideWhenUsed/>
    <w:qFormat/>
    <w:rsid w:val="00AE53A1"/>
    <w:pPr>
      <w:spacing w:after="200"/>
    </w:pPr>
    <w:rPr>
      <w:i/>
      <w:iCs/>
      <w:color w:val="1F497D" w:themeColor="text2"/>
      <w:sz w:val="18"/>
      <w:szCs w:val="18"/>
    </w:rPr>
  </w:style>
  <w:style w:type="paragraph" w:styleId="NormalWeb">
    <w:name w:val="Normal (Web)"/>
    <w:basedOn w:val="Normal"/>
    <w:uiPriority w:val="99"/>
    <w:semiHidden/>
    <w:unhideWhenUsed/>
    <w:rsid w:val="008B168D"/>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4207">
      <w:bodyDiv w:val="1"/>
      <w:marLeft w:val="0"/>
      <w:marRight w:val="0"/>
      <w:marTop w:val="0"/>
      <w:marBottom w:val="0"/>
      <w:divBdr>
        <w:top w:val="none" w:sz="0" w:space="0" w:color="auto"/>
        <w:left w:val="none" w:sz="0" w:space="0" w:color="auto"/>
        <w:bottom w:val="none" w:sz="0" w:space="0" w:color="auto"/>
        <w:right w:val="none" w:sz="0" w:space="0" w:color="auto"/>
      </w:divBdr>
    </w:div>
    <w:div w:id="64035966">
      <w:bodyDiv w:val="1"/>
      <w:marLeft w:val="0"/>
      <w:marRight w:val="0"/>
      <w:marTop w:val="0"/>
      <w:marBottom w:val="0"/>
      <w:divBdr>
        <w:top w:val="none" w:sz="0" w:space="0" w:color="auto"/>
        <w:left w:val="none" w:sz="0" w:space="0" w:color="auto"/>
        <w:bottom w:val="none" w:sz="0" w:space="0" w:color="auto"/>
        <w:right w:val="none" w:sz="0" w:space="0" w:color="auto"/>
      </w:divBdr>
    </w:div>
    <w:div w:id="101192567">
      <w:bodyDiv w:val="1"/>
      <w:marLeft w:val="0"/>
      <w:marRight w:val="0"/>
      <w:marTop w:val="0"/>
      <w:marBottom w:val="0"/>
      <w:divBdr>
        <w:top w:val="none" w:sz="0" w:space="0" w:color="auto"/>
        <w:left w:val="none" w:sz="0" w:space="0" w:color="auto"/>
        <w:bottom w:val="none" w:sz="0" w:space="0" w:color="auto"/>
        <w:right w:val="none" w:sz="0" w:space="0" w:color="auto"/>
      </w:divBdr>
    </w:div>
    <w:div w:id="280111921">
      <w:bodyDiv w:val="1"/>
      <w:marLeft w:val="0"/>
      <w:marRight w:val="0"/>
      <w:marTop w:val="0"/>
      <w:marBottom w:val="0"/>
      <w:divBdr>
        <w:top w:val="none" w:sz="0" w:space="0" w:color="auto"/>
        <w:left w:val="none" w:sz="0" w:space="0" w:color="auto"/>
        <w:bottom w:val="none" w:sz="0" w:space="0" w:color="auto"/>
        <w:right w:val="none" w:sz="0" w:space="0" w:color="auto"/>
      </w:divBdr>
    </w:div>
    <w:div w:id="349571194">
      <w:bodyDiv w:val="1"/>
      <w:marLeft w:val="0"/>
      <w:marRight w:val="0"/>
      <w:marTop w:val="0"/>
      <w:marBottom w:val="0"/>
      <w:divBdr>
        <w:top w:val="none" w:sz="0" w:space="0" w:color="auto"/>
        <w:left w:val="none" w:sz="0" w:space="0" w:color="auto"/>
        <w:bottom w:val="none" w:sz="0" w:space="0" w:color="auto"/>
        <w:right w:val="none" w:sz="0" w:space="0" w:color="auto"/>
      </w:divBdr>
    </w:div>
    <w:div w:id="393046949">
      <w:bodyDiv w:val="1"/>
      <w:marLeft w:val="0"/>
      <w:marRight w:val="0"/>
      <w:marTop w:val="0"/>
      <w:marBottom w:val="0"/>
      <w:divBdr>
        <w:top w:val="none" w:sz="0" w:space="0" w:color="auto"/>
        <w:left w:val="none" w:sz="0" w:space="0" w:color="auto"/>
        <w:bottom w:val="none" w:sz="0" w:space="0" w:color="auto"/>
        <w:right w:val="none" w:sz="0" w:space="0" w:color="auto"/>
      </w:divBdr>
    </w:div>
    <w:div w:id="398721128">
      <w:bodyDiv w:val="1"/>
      <w:marLeft w:val="0"/>
      <w:marRight w:val="0"/>
      <w:marTop w:val="0"/>
      <w:marBottom w:val="0"/>
      <w:divBdr>
        <w:top w:val="none" w:sz="0" w:space="0" w:color="auto"/>
        <w:left w:val="none" w:sz="0" w:space="0" w:color="auto"/>
        <w:bottom w:val="none" w:sz="0" w:space="0" w:color="auto"/>
        <w:right w:val="none" w:sz="0" w:space="0" w:color="auto"/>
      </w:divBdr>
    </w:div>
    <w:div w:id="853107854">
      <w:bodyDiv w:val="1"/>
      <w:marLeft w:val="0"/>
      <w:marRight w:val="0"/>
      <w:marTop w:val="0"/>
      <w:marBottom w:val="0"/>
      <w:divBdr>
        <w:top w:val="none" w:sz="0" w:space="0" w:color="auto"/>
        <w:left w:val="none" w:sz="0" w:space="0" w:color="auto"/>
        <w:bottom w:val="none" w:sz="0" w:space="0" w:color="auto"/>
        <w:right w:val="none" w:sz="0" w:space="0" w:color="auto"/>
      </w:divBdr>
    </w:div>
    <w:div w:id="858275748">
      <w:bodyDiv w:val="1"/>
      <w:marLeft w:val="0"/>
      <w:marRight w:val="0"/>
      <w:marTop w:val="0"/>
      <w:marBottom w:val="0"/>
      <w:divBdr>
        <w:top w:val="none" w:sz="0" w:space="0" w:color="auto"/>
        <w:left w:val="none" w:sz="0" w:space="0" w:color="auto"/>
        <w:bottom w:val="none" w:sz="0" w:space="0" w:color="auto"/>
        <w:right w:val="none" w:sz="0" w:space="0" w:color="auto"/>
      </w:divBdr>
    </w:div>
    <w:div w:id="918976426">
      <w:bodyDiv w:val="1"/>
      <w:marLeft w:val="0"/>
      <w:marRight w:val="0"/>
      <w:marTop w:val="0"/>
      <w:marBottom w:val="0"/>
      <w:divBdr>
        <w:top w:val="none" w:sz="0" w:space="0" w:color="auto"/>
        <w:left w:val="none" w:sz="0" w:space="0" w:color="auto"/>
        <w:bottom w:val="none" w:sz="0" w:space="0" w:color="auto"/>
        <w:right w:val="none" w:sz="0" w:space="0" w:color="auto"/>
      </w:divBdr>
    </w:div>
    <w:div w:id="998071971">
      <w:bodyDiv w:val="1"/>
      <w:marLeft w:val="0"/>
      <w:marRight w:val="0"/>
      <w:marTop w:val="0"/>
      <w:marBottom w:val="0"/>
      <w:divBdr>
        <w:top w:val="none" w:sz="0" w:space="0" w:color="auto"/>
        <w:left w:val="none" w:sz="0" w:space="0" w:color="auto"/>
        <w:bottom w:val="none" w:sz="0" w:space="0" w:color="auto"/>
        <w:right w:val="none" w:sz="0" w:space="0" w:color="auto"/>
      </w:divBdr>
    </w:div>
    <w:div w:id="1083182122">
      <w:bodyDiv w:val="1"/>
      <w:marLeft w:val="0"/>
      <w:marRight w:val="0"/>
      <w:marTop w:val="0"/>
      <w:marBottom w:val="0"/>
      <w:divBdr>
        <w:top w:val="none" w:sz="0" w:space="0" w:color="auto"/>
        <w:left w:val="none" w:sz="0" w:space="0" w:color="auto"/>
        <w:bottom w:val="none" w:sz="0" w:space="0" w:color="auto"/>
        <w:right w:val="none" w:sz="0" w:space="0" w:color="auto"/>
      </w:divBdr>
      <w:divsChild>
        <w:div w:id="596982567">
          <w:marLeft w:val="0"/>
          <w:marRight w:val="0"/>
          <w:marTop w:val="0"/>
          <w:marBottom w:val="0"/>
          <w:divBdr>
            <w:top w:val="none" w:sz="0" w:space="0" w:color="auto"/>
            <w:left w:val="none" w:sz="0" w:space="0" w:color="auto"/>
            <w:bottom w:val="none" w:sz="0" w:space="0" w:color="auto"/>
            <w:right w:val="none" w:sz="0" w:space="0" w:color="auto"/>
          </w:divBdr>
        </w:div>
        <w:div w:id="1830174354">
          <w:marLeft w:val="0"/>
          <w:marRight w:val="0"/>
          <w:marTop w:val="0"/>
          <w:marBottom w:val="0"/>
          <w:divBdr>
            <w:top w:val="none" w:sz="0" w:space="0" w:color="auto"/>
            <w:left w:val="none" w:sz="0" w:space="0" w:color="auto"/>
            <w:bottom w:val="none" w:sz="0" w:space="0" w:color="auto"/>
            <w:right w:val="none" w:sz="0" w:space="0" w:color="auto"/>
          </w:divBdr>
        </w:div>
        <w:div w:id="1912693557">
          <w:marLeft w:val="0"/>
          <w:marRight w:val="0"/>
          <w:marTop w:val="0"/>
          <w:marBottom w:val="0"/>
          <w:divBdr>
            <w:top w:val="none" w:sz="0" w:space="0" w:color="auto"/>
            <w:left w:val="none" w:sz="0" w:space="0" w:color="auto"/>
            <w:bottom w:val="none" w:sz="0" w:space="0" w:color="auto"/>
            <w:right w:val="none" w:sz="0" w:space="0" w:color="auto"/>
          </w:divBdr>
        </w:div>
        <w:div w:id="56393495">
          <w:marLeft w:val="0"/>
          <w:marRight w:val="0"/>
          <w:marTop w:val="0"/>
          <w:marBottom w:val="0"/>
          <w:divBdr>
            <w:top w:val="none" w:sz="0" w:space="0" w:color="auto"/>
            <w:left w:val="none" w:sz="0" w:space="0" w:color="auto"/>
            <w:bottom w:val="none" w:sz="0" w:space="0" w:color="auto"/>
            <w:right w:val="none" w:sz="0" w:space="0" w:color="auto"/>
          </w:divBdr>
        </w:div>
        <w:div w:id="996297669">
          <w:marLeft w:val="0"/>
          <w:marRight w:val="0"/>
          <w:marTop w:val="0"/>
          <w:marBottom w:val="0"/>
          <w:divBdr>
            <w:top w:val="none" w:sz="0" w:space="0" w:color="auto"/>
            <w:left w:val="none" w:sz="0" w:space="0" w:color="auto"/>
            <w:bottom w:val="none" w:sz="0" w:space="0" w:color="auto"/>
            <w:right w:val="none" w:sz="0" w:space="0" w:color="auto"/>
          </w:divBdr>
        </w:div>
        <w:div w:id="1926651151">
          <w:marLeft w:val="0"/>
          <w:marRight w:val="0"/>
          <w:marTop w:val="0"/>
          <w:marBottom w:val="0"/>
          <w:divBdr>
            <w:top w:val="none" w:sz="0" w:space="0" w:color="auto"/>
            <w:left w:val="none" w:sz="0" w:space="0" w:color="auto"/>
            <w:bottom w:val="none" w:sz="0" w:space="0" w:color="auto"/>
            <w:right w:val="none" w:sz="0" w:space="0" w:color="auto"/>
          </w:divBdr>
        </w:div>
        <w:div w:id="872034944">
          <w:marLeft w:val="0"/>
          <w:marRight w:val="0"/>
          <w:marTop w:val="0"/>
          <w:marBottom w:val="0"/>
          <w:divBdr>
            <w:top w:val="none" w:sz="0" w:space="0" w:color="auto"/>
            <w:left w:val="none" w:sz="0" w:space="0" w:color="auto"/>
            <w:bottom w:val="none" w:sz="0" w:space="0" w:color="auto"/>
            <w:right w:val="none" w:sz="0" w:space="0" w:color="auto"/>
          </w:divBdr>
        </w:div>
        <w:div w:id="1752964533">
          <w:marLeft w:val="0"/>
          <w:marRight w:val="0"/>
          <w:marTop w:val="0"/>
          <w:marBottom w:val="0"/>
          <w:divBdr>
            <w:top w:val="none" w:sz="0" w:space="0" w:color="auto"/>
            <w:left w:val="none" w:sz="0" w:space="0" w:color="auto"/>
            <w:bottom w:val="none" w:sz="0" w:space="0" w:color="auto"/>
            <w:right w:val="none" w:sz="0" w:space="0" w:color="auto"/>
          </w:divBdr>
        </w:div>
      </w:divsChild>
    </w:div>
    <w:div w:id="1161235218">
      <w:bodyDiv w:val="1"/>
      <w:marLeft w:val="0"/>
      <w:marRight w:val="0"/>
      <w:marTop w:val="0"/>
      <w:marBottom w:val="0"/>
      <w:divBdr>
        <w:top w:val="none" w:sz="0" w:space="0" w:color="auto"/>
        <w:left w:val="none" w:sz="0" w:space="0" w:color="auto"/>
        <w:bottom w:val="none" w:sz="0" w:space="0" w:color="auto"/>
        <w:right w:val="none" w:sz="0" w:space="0" w:color="auto"/>
      </w:divBdr>
    </w:div>
    <w:div w:id="1168179930">
      <w:bodyDiv w:val="1"/>
      <w:marLeft w:val="0"/>
      <w:marRight w:val="0"/>
      <w:marTop w:val="0"/>
      <w:marBottom w:val="0"/>
      <w:divBdr>
        <w:top w:val="none" w:sz="0" w:space="0" w:color="auto"/>
        <w:left w:val="none" w:sz="0" w:space="0" w:color="auto"/>
        <w:bottom w:val="none" w:sz="0" w:space="0" w:color="auto"/>
        <w:right w:val="none" w:sz="0" w:space="0" w:color="auto"/>
      </w:divBdr>
    </w:div>
    <w:div w:id="1322541569">
      <w:bodyDiv w:val="1"/>
      <w:marLeft w:val="0"/>
      <w:marRight w:val="0"/>
      <w:marTop w:val="0"/>
      <w:marBottom w:val="0"/>
      <w:divBdr>
        <w:top w:val="none" w:sz="0" w:space="0" w:color="auto"/>
        <w:left w:val="none" w:sz="0" w:space="0" w:color="auto"/>
        <w:bottom w:val="none" w:sz="0" w:space="0" w:color="auto"/>
        <w:right w:val="none" w:sz="0" w:space="0" w:color="auto"/>
      </w:divBdr>
    </w:div>
    <w:div w:id="1331450088">
      <w:bodyDiv w:val="1"/>
      <w:marLeft w:val="0"/>
      <w:marRight w:val="0"/>
      <w:marTop w:val="0"/>
      <w:marBottom w:val="0"/>
      <w:divBdr>
        <w:top w:val="none" w:sz="0" w:space="0" w:color="auto"/>
        <w:left w:val="none" w:sz="0" w:space="0" w:color="auto"/>
        <w:bottom w:val="none" w:sz="0" w:space="0" w:color="auto"/>
        <w:right w:val="none" w:sz="0" w:space="0" w:color="auto"/>
      </w:divBdr>
    </w:div>
    <w:div w:id="1348560587">
      <w:bodyDiv w:val="1"/>
      <w:marLeft w:val="0"/>
      <w:marRight w:val="0"/>
      <w:marTop w:val="0"/>
      <w:marBottom w:val="0"/>
      <w:divBdr>
        <w:top w:val="none" w:sz="0" w:space="0" w:color="auto"/>
        <w:left w:val="none" w:sz="0" w:space="0" w:color="auto"/>
        <w:bottom w:val="none" w:sz="0" w:space="0" w:color="auto"/>
        <w:right w:val="none" w:sz="0" w:space="0" w:color="auto"/>
      </w:divBdr>
    </w:div>
    <w:div w:id="1649285473">
      <w:bodyDiv w:val="1"/>
      <w:marLeft w:val="0"/>
      <w:marRight w:val="0"/>
      <w:marTop w:val="0"/>
      <w:marBottom w:val="0"/>
      <w:divBdr>
        <w:top w:val="none" w:sz="0" w:space="0" w:color="auto"/>
        <w:left w:val="none" w:sz="0" w:space="0" w:color="auto"/>
        <w:bottom w:val="none" w:sz="0" w:space="0" w:color="auto"/>
        <w:right w:val="none" w:sz="0" w:space="0" w:color="auto"/>
      </w:divBdr>
    </w:div>
    <w:div w:id="1891844445">
      <w:bodyDiv w:val="1"/>
      <w:marLeft w:val="0"/>
      <w:marRight w:val="0"/>
      <w:marTop w:val="0"/>
      <w:marBottom w:val="0"/>
      <w:divBdr>
        <w:top w:val="none" w:sz="0" w:space="0" w:color="auto"/>
        <w:left w:val="none" w:sz="0" w:space="0" w:color="auto"/>
        <w:bottom w:val="none" w:sz="0" w:space="0" w:color="auto"/>
        <w:right w:val="none" w:sz="0" w:space="0" w:color="auto"/>
      </w:divBdr>
    </w:div>
    <w:div w:id="1949774952">
      <w:bodyDiv w:val="1"/>
      <w:marLeft w:val="0"/>
      <w:marRight w:val="0"/>
      <w:marTop w:val="0"/>
      <w:marBottom w:val="0"/>
      <w:divBdr>
        <w:top w:val="none" w:sz="0" w:space="0" w:color="auto"/>
        <w:left w:val="none" w:sz="0" w:space="0" w:color="auto"/>
        <w:bottom w:val="none" w:sz="0" w:space="0" w:color="auto"/>
        <w:right w:val="none" w:sz="0" w:space="0" w:color="auto"/>
      </w:divBdr>
    </w:div>
    <w:div w:id="2042241114">
      <w:bodyDiv w:val="1"/>
      <w:marLeft w:val="0"/>
      <w:marRight w:val="0"/>
      <w:marTop w:val="0"/>
      <w:marBottom w:val="0"/>
      <w:divBdr>
        <w:top w:val="none" w:sz="0" w:space="0" w:color="auto"/>
        <w:left w:val="none" w:sz="0" w:space="0" w:color="auto"/>
        <w:bottom w:val="none" w:sz="0" w:space="0" w:color="auto"/>
        <w:right w:val="none" w:sz="0" w:space="0" w:color="auto"/>
      </w:divBdr>
    </w:div>
    <w:div w:id="2042779067">
      <w:bodyDiv w:val="1"/>
      <w:marLeft w:val="0"/>
      <w:marRight w:val="0"/>
      <w:marTop w:val="0"/>
      <w:marBottom w:val="0"/>
      <w:divBdr>
        <w:top w:val="none" w:sz="0" w:space="0" w:color="auto"/>
        <w:left w:val="none" w:sz="0" w:space="0" w:color="auto"/>
        <w:bottom w:val="none" w:sz="0" w:space="0" w:color="auto"/>
        <w:right w:val="none" w:sz="0" w:space="0" w:color="auto"/>
      </w:divBdr>
    </w:div>
    <w:div w:id="2085640062">
      <w:bodyDiv w:val="1"/>
      <w:marLeft w:val="0"/>
      <w:marRight w:val="0"/>
      <w:marTop w:val="0"/>
      <w:marBottom w:val="0"/>
      <w:divBdr>
        <w:top w:val="none" w:sz="0" w:space="0" w:color="auto"/>
        <w:left w:val="none" w:sz="0" w:space="0" w:color="auto"/>
        <w:bottom w:val="none" w:sz="0" w:space="0" w:color="auto"/>
        <w:right w:val="none" w:sz="0" w:space="0" w:color="auto"/>
      </w:divBdr>
    </w:div>
    <w:div w:id="21023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puc4-aav-fs\users\jordonez\Confidential%20Dockets\2019\49421%20CenterPoint%202019%20Rate%20Case\2%20Staff%20Analysis\Analysis%20III\Confidential%20Workpapers\6%20S&amp;P%20GMI%20Credit%20-%20Historical%20Delivery-Only%20Cap%20Struct%20in%20Other%20Jurisdicitons.xls"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68" b="0" i="0" u="none" strike="noStrike" kern="1200" spc="0" baseline="0">
                <a:solidFill>
                  <a:schemeClr val="tx1">
                    <a:lumMod val="65000"/>
                    <a:lumOff val="35000"/>
                  </a:schemeClr>
                </a:solidFill>
                <a:latin typeface="+mn-lt"/>
                <a:ea typeface="+mn-ea"/>
                <a:cs typeface="+mn-cs"/>
              </a:defRPr>
            </a:pPr>
            <a:r>
              <a:rPr lang="en-US" sz="1000"/>
              <a:t>Approved Equity in Capital Structure for Delivery-Only Electric</a:t>
            </a:r>
            <a:r>
              <a:rPr lang="en-US" sz="1000" baseline="0"/>
              <a:t> </a:t>
            </a:r>
            <a:r>
              <a:rPr lang="en-US" sz="1000"/>
              <a:t>Utilities </a:t>
            </a:r>
          </a:p>
        </c:rich>
      </c:tx>
      <c:layout/>
      <c:overlay val="0"/>
      <c:spPr>
        <a:noFill/>
        <a:ln>
          <a:noFill/>
        </a:ln>
        <a:effectLst/>
      </c:spPr>
      <c:txPr>
        <a:bodyPr rot="0" spcFirstLastPara="1" vertOverflow="ellipsis" vert="horz" wrap="square" anchor="ctr" anchorCtr="1"/>
        <a:lstStyle/>
        <a:p>
          <a:pPr>
            <a:defRPr sz="1068"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2.5000000000000001E-2"/>
                  <c:y val="9.259259259259250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6666666666666666E-2"/>
                  <c:y val="-6.481481481481481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500000000000005E-2"/>
                  <c:y val="7.407407407407398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8333333333333383E-2"/>
                  <c:y val="-5.092592592592597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0555555555555555E-2"/>
                  <c:y val="7.870370370370362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6.6666666666666721E-2"/>
                  <c:y val="-8.33333333333333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6111111111111163E-2"/>
                  <c:y val="8.796296296296296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8.3333333333333332E-3"/>
                  <c:y val="6.481481481481472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11944444444444445"/>
                  <c:y val="-3.24074074074074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7.2222222222222215E-2"/>
                  <c:y val="-7.87037037037037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1666666666666664E-2"/>
                  <c:y val="5.09259259259258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8333333333333438E-2"/>
                  <c:y val="-4.16666666666667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2"/>
              <c:layout>
                <c:manualLayout>
                  <c:x val="-3.6111111111111212E-2"/>
                  <c:y val="8.333333333333324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3"/>
              <c:layout>
                <c:manualLayout>
                  <c:x val="-5.8333333333333438E-2"/>
                  <c:y val="-3.24074074074074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4"/>
              <c:layout>
                <c:manualLayout>
                  <c:x val="-1.6666666666666767E-2"/>
                  <c:y val="8.333333333333324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5"/>
              <c:layout>
                <c:manualLayout>
                  <c:x val="-5.2777777777777882E-2"/>
                  <c:y val="-2.777777777777777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6"/>
              <c:layout>
                <c:manualLayout>
                  <c:x val="-1.0185067526415994E-16"/>
                  <c:y val="3.703703703703703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7"/>
              <c:layout>
                <c:manualLayout>
                  <c:x val="-1.6666666666666767E-2"/>
                  <c:y val="-6.018518518518518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xVal>
            <c:numRef>
              <c:f>'T&amp;D Cap Str Graph (2)'!$E$5:$E$22</c:f>
              <c:numCache>
                <c:formatCode>General</c:formatCode>
                <c:ptCount val="18"/>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pt idx="17">
                  <c:v>2018</c:v>
                </c:pt>
              </c:numCache>
            </c:numRef>
          </c:xVal>
          <c:yVal>
            <c:numRef>
              <c:f>'T&amp;D Cap Str Graph (2)'!$F$5:$F$22</c:f>
              <c:numCache>
                <c:formatCode>0.00%</c:formatCode>
                <c:ptCount val="18"/>
                <c:pt idx="0">
                  <c:v>0.45</c:v>
                </c:pt>
                <c:pt idx="1">
                  <c:v>0.47</c:v>
                </c:pt>
                <c:pt idx="2">
                  <c:v>0.44414000000000003</c:v>
                </c:pt>
                <c:pt idx="3">
                  <c:v>0.48435</c:v>
                </c:pt>
                <c:pt idx="4">
                  <c:v>0.45549999999999996</c:v>
                </c:pt>
                <c:pt idx="5">
                  <c:v>0.46302727272727273</c:v>
                </c:pt>
                <c:pt idx="6">
                  <c:v>0.46603</c:v>
                </c:pt>
                <c:pt idx="7">
                  <c:v>0.47281111111111107</c:v>
                </c:pt>
                <c:pt idx="8">
                  <c:v>0.48345000000000005</c:v>
                </c:pt>
                <c:pt idx="9">
                  <c:v>0.48431764705882357</c:v>
                </c:pt>
                <c:pt idx="10">
                  <c:v>0.47021666666666667</c:v>
                </c:pt>
                <c:pt idx="11">
                  <c:v>0.48576153846153841</c:v>
                </c:pt>
                <c:pt idx="12">
                  <c:v>0.47692727272727276</c:v>
                </c:pt>
                <c:pt idx="13">
                  <c:v>0.4926428571428571</c:v>
                </c:pt>
                <c:pt idx="14">
                  <c:v>0.47178571428571431</c:v>
                </c:pt>
                <c:pt idx="15">
                  <c:v>0.49118333333333342</c:v>
                </c:pt>
                <c:pt idx="16">
                  <c:v>0.48840714285714282</c:v>
                </c:pt>
                <c:pt idx="17">
                  <c:v>0.49912499999999993</c:v>
                </c:pt>
              </c:numCache>
            </c:numRef>
          </c:yVal>
          <c:smooth val="0"/>
        </c:ser>
        <c:dLbls>
          <c:showLegendKey val="0"/>
          <c:showVal val="0"/>
          <c:showCatName val="0"/>
          <c:showSerName val="0"/>
          <c:showPercent val="0"/>
          <c:showBubbleSize val="0"/>
        </c:dLbls>
        <c:axId val="453333712"/>
        <c:axId val="453335672"/>
      </c:scatterChart>
      <c:valAx>
        <c:axId val="453333712"/>
        <c:scaling>
          <c:orientation val="minMax"/>
          <c:max val="2018"/>
          <c:min val="200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5400000" spcFirstLastPara="1" vertOverflow="ellipsis" wrap="square" anchor="ctr" anchorCtr="1"/>
          <a:lstStyle/>
          <a:p>
            <a:pPr>
              <a:defRPr sz="800" b="0" i="0" u="none" strike="noStrike" kern="1200" cap="none" baseline="0">
                <a:solidFill>
                  <a:schemeClr val="tx1">
                    <a:lumMod val="65000"/>
                    <a:lumOff val="35000"/>
                  </a:schemeClr>
                </a:solidFill>
                <a:latin typeface="+mn-lt"/>
                <a:ea typeface="+mn-ea"/>
                <a:cs typeface="+mn-cs"/>
              </a:defRPr>
            </a:pPr>
            <a:endParaRPr lang="en-US"/>
          </a:p>
        </c:txPr>
        <c:crossAx val="453335672"/>
        <c:crosses val="autoZero"/>
        <c:crossBetween val="midCat"/>
        <c:majorUnit val="1"/>
      </c:valAx>
      <c:valAx>
        <c:axId val="453335672"/>
        <c:scaling>
          <c:orientation val="minMax"/>
          <c:max val="0.5"/>
          <c:min val="0.4"/>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453333712"/>
        <c:crosses val="autoZero"/>
        <c:crossBetween val="midCat"/>
        <c:majorUnit val="1.0000000000000002E-2"/>
        <c:minorUnit val="1.0000000000000002E-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90" baseline="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B4F6C-C5B6-4455-BBE5-36A7E1814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8802</Words>
  <Characters>47768</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56458</CharactersWithSpaces>
  <SharedDoc>false</SharedDoc>
  <HLinks>
    <vt:vector size="24" baseType="variant">
      <vt:variant>
        <vt:i4>1048631</vt:i4>
      </vt:variant>
      <vt:variant>
        <vt:i4>23</vt:i4>
      </vt:variant>
      <vt:variant>
        <vt:i4>0</vt:i4>
      </vt:variant>
      <vt:variant>
        <vt:i4>5</vt:i4>
      </vt:variant>
      <vt:variant>
        <vt:lpwstr/>
      </vt:variant>
      <vt:variant>
        <vt:lpwstr>_Toc15351344</vt:lpwstr>
      </vt:variant>
      <vt:variant>
        <vt:i4>1507383</vt:i4>
      </vt:variant>
      <vt:variant>
        <vt:i4>17</vt:i4>
      </vt:variant>
      <vt:variant>
        <vt:i4>0</vt:i4>
      </vt:variant>
      <vt:variant>
        <vt:i4>5</vt:i4>
      </vt:variant>
      <vt:variant>
        <vt:lpwstr/>
      </vt:variant>
      <vt:variant>
        <vt:lpwstr>_Toc15351343</vt:lpwstr>
      </vt:variant>
      <vt:variant>
        <vt:i4>1441847</vt:i4>
      </vt:variant>
      <vt:variant>
        <vt:i4>11</vt:i4>
      </vt:variant>
      <vt:variant>
        <vt:i4>0</vt:i4>
      </vt:variant>
      <vt:variant>
        <vt:i4>5</vt:i4>
      </vt:variant>
      <vt:variant>
        <vt:lpwstr/>
      </vt:variant>
      <vt:variant>
        <vt:lpwstr>_Toc15351342</vt:lpwstr>
      </vt:variant>
      <vt:variant>
        <vt:i4>1376311</vt:i4>
      </vt:variant>
      <vt:variant>
        <vt:i4>5</vt:i4>
      </vt:variant>
      <vt:variant>
        <vt:i4>0</vt:i4>
      </vt:variant>
      <vt:variant>
        <vt:i4>5</vt:i4>
      </vt:variant>
      <vt:variant>
        <vt:lpwstr/>
      </vt:variant>
      <vt:variant>
        <vt:lpwstr>_Toc15351341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2019-06-11T22:13:00Z</dcterms:created>
  <dcterms:modified xsi:type="dcterms:W3CDTF">2019-06-11T22:17:00Z</dcterms:modified>
  <cp:contentStatus/>
</cp:coreProperties>
</file>